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47FE0A" w14:textId="77777777" w:rsidR="00FD680A" w:rsidRDefault="00FD680A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FD680A">
        <w:rPr>
          <w:rFonts w:ascii="Times New Roman" w:hAnsi="Times New Roman"/>
          <w:sz w:val="28"/>
        </w:rPr>
        <w:t>Техническое задание № 425-СО</w:t>
      </w:r>
    </w:p>
    <w:p w14:paraId="7A115340" w14:textId="7CDF5189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на поставку специализированной системы очистки ленты-основы на проход</w:t>
      </w:r>
    </w:p>
    <w:p w14:paraId="5B9B5A17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71DC0FCD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СОДЕРЖАНИЕ</w:t>
      </w:r>
    </w:p>
    <w:p w14:paraId="22571772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6"/>
        </w:rPr>
      </w:pPr>
    </w:p>
    <w:p w14:paraId="022B4084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1.</w:t>
      </w:r>
      <w:r>
        <w:rPr>
          <w:rFonts w:ascii="Times New Roman" w:hAnsi="Times New Roman"/>
          <w:sz w:val="26"/>
        </w:rPr>
        <w:tab/>
        <w:t>ОБЩИЕ СВЕДЕНИЯ</w:t>
      </w:r>
    </w:p>
    <w:p w14:paraId="5056C219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 1.1.</w:t>
      </w:r>
      <w:r>
        <w:rPr>
          <w:rFonts w:ascii="Times New Roman" w:hAnsi="Times New Roman"/>
          <w:sz w:val="24"/>
        </w:rPr>
        <w:tab/>
        <w:t>Наименование</w:t>
      </w:r>
    </w:p>
    <w:p w14:paraId="2B611120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 1.2.</w:t>
      </w:r>
      <w:r>
        <w:rPr>
          <w:rFonts w:ascii="Times New Roman" w:hAnsi="Times New Roman"/>
          <w:sz w:val="24"/>
        </w:rPr>
        <w:tab/>
        <w:t>Сведения о новизне</w:t>
      </w:r>
    </w:p>
    <w:p w14:paraId="45DAD383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 1.3.</w:t>
      </w:r>
      <w:r>
        <w:rPr>
          <w:rFonts w:ascii="Times New Roman" w:hAnsi="Times New Roman"/>
          <w:sz w:val="24"/>
        </w:rPr>
        <w:tab/>
        <w:t>Код ОКП</w:t>
      </w:r>
    </w:p>
    <w:p w14:paraId="76F12F17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2.</w:t>
      </w:r>
      <w:r>
        <w:rPr>
          <w:rFonts w:ascii="Times New Roman" w:hAnsi="Times New Roman"/>
          <w:sz w:val="26"/>
        </w:rPr>
        <w:tab/>
        <w:t>ОБЛАСТЬ ПРИМЕНЕНИЯ</w:t>
      </w:r>
    </w:p>
    <w:p w14:paraId="1DA871C7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3.</w:t>
      </w:r>
      <w:r>
        <w:rPr>
          <w:rFonts w:ascii="Times New Roman" w:hAnsi="Times New Roman"/>
          <w:sz w:val="26"/>
        </w:rPr>
        <w:tab/>
        <w:t>УСЛОВИЯ ЭКСПЛУАТАЦИИ</w:t>
      </w:r>
    </w:p>
    <w:p w14:paraId="6221B2D6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4.</w:t>
      </w:r>
      <w:r>
        <w:rPr>
          <w:rFonts w:ascii="Times New Roman" w:hAnsi="Times New Roman"/>
          <w:sz w:val="26"/>
        </w:rPr>
        <w:tab/>
        <w:t>ТЕХНИЧЕСКИЕ ТРЕБОВАНИЯ</w:t>
      </w:r>
    </w:p>
    <w:p w14:paraId="41D6A9E3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4.1.</w:t>
      </w:r>
      <w:r>
        <w:rPr>
          <w:rFonts w:ascii="Times New Roman" w:hAnsi="Times New Roman"/>
          <w:sz w:val="24"/>
        </w:rPr>
        <w:tab/>
        <w:t>Основные параметры и размеры.</w:t>
      </w:r>
    </w:p>
    <w:p w14:paraId="634043C0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4.2.</w:t>
      </w:r>
      <w:r>
        <w:rPr>
          <w:rFonts w:ascii="Times New Roman" w:hAnsi="Times New Roman"/>
          <w:sz w:val="24"/>
        </w:rPr>
        <w:tab/>
        <w:t>Основные технико-экономические и эксплуатационные показатели</w:t>
      </w:r>
    </w:p>
    <w:p w14:paraId="3374183C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4.3.</w:t>
      </w:r>
      <w:r>
        <w:rPr>
          <w:rFonts w:ascii="Times New Roman" w:hAnsi="Times New Roman"/>
          <w:sz w:val="24"/>
        </w:rPr>
        <w:tab/>
        <w:t>Требования к конструкции, монтажно-технические требования</w:t>
      </w:r>
    </w:p>
    <w:p w14:paraId="07D27677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4.4.</w:t>
      </w:r>
      <w:r>
        <w:rPr>
          <w:rFonts w:ascii="Times New Roman" w:hAnsi="Times New Roman"/>
          <w:sz w:val="24"/>
        </w:rPr>
        <w:tab/>
        <w:t>Требования к материалам и комплектующим оборудования</w:t>
      </w:r>
    </w:p>
    <w:p w14:paraId="30175D57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4.5.</w:t>
      </w:r>
      <w:r>
        <w:rPr>
          <w:rFonts w:ascii="Times New Roman" w:hAnsi="Times New Roman"/>
          <w:sz w:val="24"/>
        </w:rPr>
        <w:tab/>
        <w:t>Требования к электропитанию</w:t>
      </w:r>
    </w:p>
    <w:p w14:paraId="0B64AF98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4.6.</w:t>
      </w:r>
      <w:r>
        <w:rPr>
          <w:rFonts w:ascii="Times New Roman" w:hAnsi="Times New Roman"/>
          <w:sz w:val="24"/>
        </w:rPr>
        <w:tab/>
        <w:t>Требования к контрольно-измерительным приборам и автоматике</w:t>
      </w:r>
    </w:p>
    <w:p w14:paraId="30B11DA8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4.7.</w:t>
      </w:r>
      <w:r>
        <w:rPr>
          <w:rFonts w:ascii="Times New Roman" w:hAnsi="Times New Roman"/>
          <w:sz w:val="24"/>
        </w:rPr>
        <w:tab/>
        <w:t>Требования к комплектности</w:t>
      </w:r>
    </w:p>
    <w:p w14:paraId="15CB7BCB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4.8.</w:t>
      </w:r>
      <w:r>
        <w:rPr>
          <w:rFonts w:ascii="Times New Roman" w:hAnsi="Times New Roman"/>
          <w:sz w:val="24"/>
        </w:rPr>
        <w:tab/>
        <w:t>Требования к маркировке</w:t>
      </w:r>
    </w:p>
    <w:p w14:paraId="3A58D258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4.9.</w:t>
      </w:r>
      <w:r>
        <w:rPr>
          <w:rFonts w:ascii="Times New Roman" w:hAnsi="Times New Roman"/>
          <w:sz w:val="24"/>
        </w:rPr>
        <w:tab/>
        <w:t>Требования к упаковке</w:t>
      </w:r>
    </w:p>
    <w:p w14:paraId="7C8A4B43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5.</w:t>
      </w:r>
      <w:r>
        <w:rPr>
          <w:rFonts w:ascii="Times New Roman" w:hAnsi="Times New Roman"/>
          <w:sz w:val="26"/>
        </w:rPr>
        <w:tab/>
        <w:t>ТРЕБОВАНИЯ ПО ПРАВИЛАМ СДАЧИ И ПРИЕМКИ</w:t>
      </w:r>
    </w:p>
    <w:p w14:paraId="60764C9D" w14:textId="77777777" w:rsidR="002D6F6C" w:rsidRDefault="0097013E">
      <w:pPr>
        <w:tabs>
          <w:tab w:val="left" w:pos="851"/>
        </w:tabs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5.1.</w:t>
      </w:r>
      <w:r>
        <w:rPr>
          <w:rFonts w:ascii="Times New Roman" w:hAnsi="Times New Roman"/>
          <w:sz w:val="24"/>
        </w:rPr>
        <w:tab/>
        <w:t>Порядок сдачи и приемки</w:t>
      </w:r>
    </w:p>
    <w:p w14:paraId="356605DE" w14:textId="77777777" w:rsidR="002D6F6C" w:rsidRDefault="0097013E">
      <w:pPr>
        <w:spacing w:after="0" w:line="240" w:lineRule="auto"/>
        <w:ind w:left="2552" w:hanging="170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Подраздел 5.2.</w:t>
      </w:r>
      <w:r>
        <w:rPr>
          <w:rFonts w:ascii="Times New Roman" w:hAnsi="Times New Roman"/>
          <w:sz w:val="24"/>
        </w:rPr>
        <w:tab/>
        <w:t>Требования по передаче заказчику технических и иных документов при поставке стандартного промышленного оборудования</w:t>
      </w:r>
    </w:p>
    <w:p w14:paraId="25FBDF88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6.</w:t>
      </w:r>
      <w:r>
        <w:rPr>
          <w:rFonts w:ascii="Times New Roman" w:hAnsi="Times New Roman"/>
          <w:sz w:val="26"/>
        </w:rPr>
        <w:tab/>
        <w:t>ТРЕБОВАНИЯ К ТРАНСПОРТИРОВАНИЮ</w:t>
      </w:r>
    </w:p>
    <w:p w14:paraId="4ABB1BA1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7.</w:t>
      </w:r>
      <w:r>
        <w:rPr>
          <w:rFonts w:ascii="Times New Roman" w:hAnsi="Times New Roman"/>
          <w:sz w:val="26"/>
        </w:rPr>
        <w:tab/>
        <w:t>ТРЕБОВАНИЯ К ХРАНЕНИЮ</w:t>
      </w:r>
    </w:p>
    <w:p w14:paraId="071FC450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8.</w:t>
      </w:r>
      <w:r>
        <w:rPr>
          <w:rFonts w:ascii="Times New Roman" w:hAnsi="Times New Roman"/>
          <w:sz w:val="26"/>
        </w:rPr>
        <w:tab/>
        <w:t>ТРЕБОВАНИЯ К ОБЪЕМУ И/ИЛИ СРОКУ ПРЕДОСТАВЛЕНИЯ ГАРАНТИЙ</w:t>
      </w:r>
    </w:p>
    <w:p w14:paraId="68BAD5DA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9.</w:t>
      </w:r>
      <w:r>
        <w:rPr>
          <w:rFonts w:ascii="Times New Roman" w:hAnsi="Times New Roman"/>
          <w:sz w:val="26"/>
        </w:rPr>
        <w:tab/>
        <w:t>ТРЕБОВАНИЯ ПО БЕЗОПАСНОСТИ</w:t>
      </w:r>
    </w:p>
    <w:p w14:paraId="62AAED27" w14:textId="77777777" w:rsidR="002D6F6C" w:rsidRDefault="0097013E">
      <w:pPr>
        <w:tabs>
          <w:tab w:val="left" w:pos="54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10.</w:t>
      </w:r>
      <w:r>
        <w:rPr>
          <w:rFonts w:ascii="Times New Roman" w:hAnsi="Times New Roman"/>
          <w:sz w:val="26"/>
        </w:rPr>
        <w:tab/>
        <w:t>ДОПОЛНИТЕЛЬНЫЕ (ИНЫЕ) ТРЕБОВАНИЯ</w:t>
      </w:r>
    </w:p>
    <w:p w14:paraId="5258CCA8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11.</w:t>
      </w:r>
      <w:r>
        <w:rPr>
          <w:rFonts w:ascii="Times New Roman" w:hAnsi="Times New Roman"/>
          <w:sz w:val="26"/>
        </w:rPr>
        <w:tab/>
        <w:t>ТРЕБОВАНИЯ К КОЛИЧЕСТВУ, МЕСТУ И СРОКУ (ПЕРИОДИЧНОСТИ) ПОСТАВКИ</w:t>
      </w:r>
    </w:p>
    <w:p w14:paraId="33B01A8E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12.</w:t>
      </w:r>
      <w:r>
        <w:rPr>
          <w:rFonts w:ascii="Times New Roman" w:hAnsi="Times New Roman"/>
          <w:sz w:val="26"/>
        </w:rPr>
        <w:tab/>
        <w:t>ТРЕБОВАНИЕ К ФОРМЕ ПРЕДСТАВЛЯЕМОЙ ИНФОРМАЦИИ</w:t>
      </w:r>
    </w:p>
    <w:p w14:paraId="05F7850B" w14:textId="77777777" w:rsidR="002D6F6C" w:rsidRDefault="0097013E">
      <w:pPr>
        <w:spacing w:after="0" w:line="240" w:lineRule="auto"/>
        <w:ind w:left="1418" w:hanging="1418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РАЗДЕЛ 13.</w:t>
      </w:r>
      <w:r>
        <w:rPr>
          <w:rFonts w:ascii="Times New Roman" w:hAnsi="Times New Roman"/>
          <w:sz w:val="26"/>
        </w:rPr>
        <w:tab/>
        <w:t>ПЕРЕЧЕНЬ ПРИНЯТЫХ СОКРАЩЕНИЙ</w:t>
      </w:r>
    </w:p>
    <w:p w14:paraId="03B7A71B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  <w:r>
        <w:rPr>
          <w:rFonts w:ascii="Times New Roman" w:hAnsi="Times New Roman"/>
          <w:sz w:val="28"/>
        </w:rPr>
        <w:lastRenderedPageBreak/>
        <w:t>РАЗДЕЛ 1. ОБЩИЕ СВЕДЕНИЯ</w:t>
      </w:r>
    </w:p>
    <w:p w14:paraId="37925B73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7F42FED6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B1DCD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1.1. Наименование</w:t>
            </w:r>
          </w:p>
        </w:tc>
      </w:tr>
      <w:tr w:rsidR="002D6F6C" w14:paraId="0CD9E063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74EE1" w14:textId="77777777" w:rsidR="002D6F6C" w:rsidRDefault="0097013E">
            <w:pPr>
              <w:spacing w:line="240" w:lineRule="auto"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Специализированная система очистки ленты-основы на проход</w:t>
            </w:r>
          </w:p>
        </w:tc>
      </w:tr>
      <w:tr w:rsidR="002D6F6C" w14:paraId="1DE7EE93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1F6DB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8"/>
              </w:rPr>
              <w:t>Подраздел 1.2. Сведения о новизне</w:t>
            </w:r>
          </w:p>
        </w:tc>
      </w:tr>
      <w:tr w:rsidR="002D6F6C" w14:paraId="1D66F201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4E06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1.2.1. Оборудование и комплектующие должны быть новыми, выпуска не ранее 2024 года, ранее не использованными, не эксплуатируемыми, не допускается поставка выставочных образцов, а также оборудования, собранного из восстановленных узлов и агрегатов.</w:t>
            </w:r>
          </w:p>
          <w:p w14:paraId="6A96271A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1.2.2. </w:t>
            </w:r>
            <w:r>
              <w:rPr>
                <w:rFonts w:ascii="Times New Roman" w:hAnsi="Times New Roman"/>
                <w:spacing w:val="-6"/>
                <w:sz w:val="24"/>
              </w:rPr>
              <w:t>Оборудование должно иметь надлежащий новому оборудованию вид, без следов износа и т.п.</w:t>
            </w:r>
          </w:p>
        </w:tc>
      </w:tr>
      <w:tr w:rsidR="002D6F6C" w14:paraId="7E65FFED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D6E0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8"/>
              </w:rPr>
              <w:t>Подраздел 1.3. Код ОКП</w:t>
            </w:r>
          </w:p>
        </w:tc>
      </w:tr>
      <w:tr w:rsidR="002D6F6C" w14:paraId="79F39A60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81BEA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28.21.13.119</w:t>
            </w:r>
          </w:p>
        </w:tc>
      </w:tr>
    </w:tbl>
    <w:p w14:paraId="117641D3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00C7F354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2. ОБЛАСТЬ ПРИМЕНЕНИЯ</w:t>
      </w:r>
    </w:p>
    <w:p w14:paraId="11CE8F6C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69CB4619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0D4AA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Специализированная система очистки ленты-основы на проход используется для очистки нержавеющих стальных лент-подложек ВТСП-2 проводников</w:t>
            </w:r>
          </w:p>
        </w:tc>
      </w:tr>
    </w:tbl>
    <w:p w14:paraId="364D286A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49144399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3. УСЛОВИЯ ЭКСПЛУАТАЦИИ</w:t>
      </w:r>
    </w:p>
    <w:p w14:paraId="29721D4D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06DAE85F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C8D9" w14:textId="1489A320" w:rsidR="002D6F6C" w:rsidRDefault="0097013E">
            <w:pPr>
              <w:tabs>
                <w:tab w:val="left" w:pos="1500"/>
                <w:tab w:val="center" w:pos="487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Оборудование предназначено для установки и эксплуатации в существующих помещениях.</w:t>
            </w:r>
          </w:p>
          <w:p w14:paraId="7957F74F" w14:textId="77777777" w:rsidR="002D6F6C" w:rsidRDefault="0097013E">
            <w:pPr>
              <w:tabs>
                <w:tab w:val="left" w:pos="726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Допустимая температура в помещении</w:t>
            </w:r>
            <w:r>
              <w:rPr>
                <w:rFonts w:ascii="Times New Roman" w:hAnsi="Times New Roman"/>
                <w:sz w:val="24"/>
              </w:rPr>
              <w:tab/>
              <w:t>от 0 °С до +40 °С;</w:t>
            </w:r>
          </w:p>
          <w:p w14:paraId="3EB780AB" w14:textId="77777777" w:rsidR="002D6F6C" w:rsidRDefault="0097013E">
            <w:pPr>
              <w:tabs>
                <w:tab w:val="left" w:pos="726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Рекомендуемая рабочая температура в помещении</w:t>
            </w:r>
            <w:r>
              <w:rPr>
                <w:rFonts w:ascii="Times New Roman" w:hAnsi="Times New Roman"/>
                <w:sz w:val="24"/>
              </w:rPr>
              <w:tab/>
              <w:t>от +10 °С до +25 °С;</w:t>
            </w:r>
          </w:p>
          <w:p w14:paraId="20CFFA69" w14:textId="77777777" w:rsidR="002D6F6C" w:rsidRDefault="0097013E">
            <w:pPr>
              <w:tabs>
                <w:tab w:val="left" w:pos="726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Допустимые изменения температуры</w:t>
            </w:r>
            <w:r>
              <w:rPr>
                <w:rFonts w:ascii="Times New Roman" w:hAnsi="Times New Roman"/>
                <w:sz w:val="24"/>
              </w:rPr>
              <w:tab/>
              <w:t>не более 1 °С/час;</w:t>
            </w:r>
          </w:p>
          <w:p w14:paraId="65C66343" w14:textId="77777777" w:rsidR="002D6F6C" w:rsidRDefault="0097013E">
            <w:pPr>
              <w:tabs>
                <w:tab w:val="left" w:pos="726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Допустимая относительная влажность</w:t>
            </w:r>
            <w:r>
              <w:rPr>
                <w:rFonts w:ascii="Times New Roman" w:hAnsi="Times New Roman"/>
                <w:sz w:val="24"/>
              </w:rPr>
              <w:tab/>
              <w:t>не более 85 %;</w:t>
            </w:r>
          </w:p>
        </w:tc>
      </w:tr>
    </w:tbl>
    <w:p w14:paraId="17112EA0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093666C0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4. ТЕХНИЧЕСКИЕ ТРЕБОВАНИЯ</w:t>
      </w:r>
    </w:p>
    <w:p w14:paraId="07109730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74"/>
        <w:gridCol w:w="3182"/>
      </w:tblGrid>
      <w:tr w:rsidR="002D6F6C" w14:paraId="5C80A61F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4D233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4.1. Основные параметры и размеры</w:t>
            </w:r>
          </w:p>
        </w:tc>
      </w:tr>
      <w:tr w:rsidR="002D6F6C" w14:paraId="034E3CA6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EAEC" w14:textId="77777777" w:rsidR="002D6F6C" w:rsidRDefault="0097013E">
            <w:r>
              <w:rPr>
                <w:rFonts w:ascii="Times New Roman" w:hAnsi="Times New Roman"/>
                <w:sz w:val="24"/>
                <w:highlight w:val="white"/>
              </w:rPr>
              <w:t xml:space="preserve">Поставляемая по настоящему техническому заданию </w:t>
            </w:r>
            <w:r>
              <w:rPr>
                <w:rFonts w:ascii="Times New Roman" w:hAnsi="Times New Roman"/>
                <w:sz w:val="24"/>
              </w:rPr>
              <w:t>специализированная система очистки ленты-основы на проход должна состоять из нескольких рабочих зон.</w:t>
            </w:r>
          </w:p>
        </w:tc>
      </w:tr>
      <w:tr w:rsidR="002D6F6C" w14:paraId="631122DC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968C5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Тип системы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53DD0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Ультразвуковая</w:t>
            </w:r>
          </w:p>
        </w:tc>
      </w:tr>
      <w:tr w:rsidR="002D6F6C" w14:paraId="6988E37F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34B0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Максимальные габариты системы:</w:t>
            </w:r>
          </w:p>
          <w:p w14:paraId="19115396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длина</w:t>
            </w:r>
          </w:p>
          <w:p w14:paraId="48C05C63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ширина</w:t>
            </w:r>
          </w:p>
          <w:p w14:paraId="16A512F7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высота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54EC4" w14:textId="77777777" w:rsidR="002D6F6C" w:rsidRDefault="002D6F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</w:p>
          <w:p w14:paraId="733BA884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7000 мм </w:t>
            </w:r>
          </w:p>
          <w:p w14:paraId="52BCBEB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2000 мм </w:t>
            </w:r>
          </w:p>
          <w:p w14:paraId="2DEC9E7D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2000 мм </w:t>
            </w:r>
          </w:p>
        </w:tc>
      </w:tr>
      <w:tr w:rsidR="002D6F6C" w14:paraId="7B6EF2C8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C60EB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4.2. Основные технико-экономические и эксплуатационные</w:t>
            </w:r>
            <w:r>
              <w:rPr>
                <w:rFonts w:ascii="Times New Roman" w:hAnsi="Times New Roman"/>
                <w:sz w:val="28"/>
              </w:rPr>
              <w:br/>
              <w:t>показатели</w:t>
            </w:r>
          </w:p>
        </w:tc>
      </w:tr>
      <w:tr w:rsidR="002D6F6C" w14:paraId="5A6B9EF3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D39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Размеры отчищаемой ленты:</w:t>
            </w:r>
          </w:p>
          <w:p w14:paraId="39157E0D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толщина</w:t>
            </w:r>
          </w:p>
          <w:p w14:paraId="089195CA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ширина</w:t>
            </w:r>
          </w:p>
          <w:p w14:paraId="542C0A6C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                     длина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B93C" w14:textId="77777777" w:rsidR="002D6F6C" w:rsidRDefault="002D6F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</w:p>
          <w:p w14:paraId="56071121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20 - 250 мкм</w:t>
            </w:r>
          </w:p>
          <w:p w14:paraId="68291320" w14:textId="7E13A44D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4, 12, 30, 40 и 1</w:t>
            </w:r>
            <w:r w:rsidR="00FD680A">
              <w:rPr>
                <w:rFonts w:ascii="Times New Roman" w:hAnsi="Times New Roman"/>
                <w:sz w:val="24"/>
                <w:highlight w:val="white"/>
              </w:rPr>
              <w:t>5</w:t>
            </w:r>
            <w:r>
              <w:rPr>
                <w:rFonts w:ascii="Times New Roman" w:hAnsi="Times New Roman"/>
                <w:sz w:val="24"/>
                <w:highlight w:val="white"/>
              </w:rPr>
              <w:t>0 мм</w:t>
            </w:r>
          </w:p>
          <w:p w14:paraId="0ACFA14C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не менее 2,5 км</w:t>
            </w:r>
          </w:p>
        </w:tc>
      </w:tr>
      <w:tr w:rsidR="002D6F6C" w14:paraId="1A53BD95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AEE9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Ленты на катушках с посадочным отверстием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C0A4C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150 мм</w:t>
            </w:r>
          </w:p>
        </w:tc>
      </w:tr>
      <w:tr w:rsidR="002D6F6C" w14:paraId="1D6DD533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CCAE8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Наружный диаметр катушки с лентой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0EE97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600 мм</w:t>
            </w:r>
          </w:p>
        </w:tc>
      </w:tr>
      <w:tr w:rsidR="002D6F6C" w14:paraId="4DAD04A9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BDCD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Максимальный вес катушки с лентой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624C3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200 кг</w:t>
            </w:r>
          </w:p>
        </w:tc>
      </w:tr>
      <w:tr w:rsidR="002D6F6C" w14:paraId="50DAB0F1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8AD9A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Намотка ленты на катушку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9721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«Галетой»</w:t>
            </w:r>
          </w:p>
        </w:tc>
      </w:tr>
      <w:tr w:rsidR="002D6F6C" w14:paraId="37E62F7C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2FEB1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Размотка и намотка ленты на катушки с усилием не более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1B0C9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t>0,3</w:t>
            </w:r>
            <w:r>
              <w:rPr>
                <w:sz w:val="24"/>
              </w:rPr>
              <w:t>σ</w:t>
            </w:r>
            <w:r>
              <w:rPr>
                <w:vertAlign w:val="subscript"/>
              </w:rPr>
              <w:t xml:space="preserve">0,2 </w:t>
            </w:r>
          </w:p>
          <w:p w14:paraId="52D7B276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(предел текучести)</w:t>
            </w:r>
          </w:p>
        </w:tc>
      </w:tr>
      <w:tr w:rsidR="002D6F6C" w14:paraId="7EA7286A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880FD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Скорость протяжки ленты с плавной регулировкой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934B1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0-10 м/мин</w:t>
            </w:r>
          </w:p>
        </w:tc>
      </w:tr>
      <w:tr w:rsidR="002D6F6C" w14:paraId="120DC55C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5A99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Зона предварительной грубой очистки ленты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E9597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15CEF0B5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9058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Основная зона тонкой очистки ленты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510B6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5299756A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51A6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lastRenderedPageBreak/>
              <w:t>Зона промывки ленты после очистки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F824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251808B8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A3268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Зона сушки очищенной ленты перед намоткой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CA3E3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6D7FF40E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338BD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Намотка ленты на катушку без влаги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45F7C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2479ED9E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2BF6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Система диагностики и контроля протяжки ленты (обрыв, смещение, конец ленты и т.д.)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50E03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</w:p>
          <w:p w14:paraId="506742C9" w14:textId="77777777" w:rsidR="002D6F6C" w:rsidRDefault="002D6F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</w:p>
        </w:tc>
      </w:tr>
      <w:tr w:rsidR="002D6F6C" w14:paraId="66C0EBC7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D7CA5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Система контроля уровней рабочей и промывочной жидкости в резервуарах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3B343" w14:textId="77777777" w:rsidR="002D6F6C" w:rsidRDefault="0097013E"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28FA451F" w14:textId="77777777">
        <w:trPr>
          <w:trHeight w:val="227"/>
        </w:trPr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2145A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Встроенная система сбора, накопления и удаления отходов очистки ленты.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3791E" w14:textId="77777777" w:rsidR="002D6F6C" w:rsidRDefault="0097013E">
            <w:r>
              <w:rPr>
                <w:rFonts w:ascii="Times New Roman" w:hAnsi="Times New Roman"/>
                <w:sz w:val="24"/>
                <w:highlight w:val="white"/>
              </w:rPr>
              <w:t>Да</w:t>
            </w:r>
          </w:p>
        </w:tc>
      </w:tr>
      <w:tr w:rsidR="002D6F6C" w14:paraId="75218DD7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8C35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4.3. Требования к конструкции, монтажно-технические требования</w:t>
            </w:r>
          </w:p>
        </w:tc>
      </w:tr>
      <w:tr w:rsidR="002D6F6C" w14:paraId="1DD411A4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60FA" w14:textId="77777777" w:rsidR="002D6F6C" w:rsidRDefault="0097013E">
            <w:pPr>
              <w:tabs>
                <w:tab w:val="left" w:pos="147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4.3.1. Оборудование должно являться изделиями полной заводской готовности.</w:t>
            </w:r>
          </w:p>
        </w:tc>
      </w:tr>
      <w:tr w:rsidR="002D6F6C" w14:paraId="2E9347D5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58A9B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4.4. Требования к материалам и комплектующим оборудования</w:t>
            </w:r>
          </w:p>
        </w:tc>
      </w:tr>
      <w:tr w:rsidR="002D6F6C" w14:paraId="689FA901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8307" w14:textId="77777777" w:rsidR="002D6F6C" w:rsidRDefault="0097013E">
            <w:pPr>
              <w:tabs>
                <w:tab w:val="left" w:pos="145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4.4.1. Применяемые при изготовлении оборудования материалы и комплектующие изделия должны иметь сертификаты или другие документы, подтверждающие их качество.</w:t>
            </w:r>
          </w:p>
          <w:p w14:paraId="63AA9CC6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4.4.2. Материалы и полуфабрикаты должны быть надежно защищены от повреждения и порчи в период транспортировки и хранения. Разработка способов защиты материалов и полуфабрикатов при транспортировке и хранении должна осуществляться предприятиями-изготовителями.</w:t>
            </w:r>
          </w:p>
          <w:p w14:paraId="234D5417" w14:textId="77777777" w:rsidR="002D6F6C" w:rsidRDefault="0097013E">
            <w:pPr>
              <w:tabs>
                <w:tab w:val="left" w:pos="31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4.4.3. Оборудование должно поставляться с набором материалов и приспособлений, необходимых для его монтажа и эксплуатации.</w:t>
            </w:r>
          </w:p>
        </w:tc>
      </w:tr>
      <w:tr w:rsidR="002D6F6C" w14:paraId="7D779950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8379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4.5. Требования к электропитанию</w:t>
            </w:r>
          </w:p>
        </w:tc>
      </w:tr>
      <w:tr w:rsidR="002D6F6C" w14:paraId="61489B2B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8287" w14:textId="77777777" w:rsidR="002D6F6C" w:rsidRDefault="0097013E">
            <w:pPr>
              <w:tabs>
                <w:tab w:val="left" w:pos="69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Род тока питающей сети</w:t>
            </w:r>
            <w:r>
              <w:rPr>
                <w:rFonts w:ascii="Times New Roman" w:hAnsi="Times New Roman"/>
                <w:sz w:val="24"/>
              </w:rPr>
              <w:tab/>
              <w:t>трехфазный+заземление Напряжение, В</w:t>
            </w:r>
            <w:r>
              <w:rPr>
                <w:rFonts w:ascii="Times New Roman" w:hAnsi="Times New Roman"/>
                <w:sz w:val="24"/>
              </w:rPr>
              <w:tab/>
              <w:t>..</w:t>
            </w:r>
            <w:r>
              <w:t xml:space="preserve"> ~3N×380V; +15/-10%</w:t>
            </w:r>
          </w:p>
          <w:p w14:paraId="1C39679C" w14:textId="77777777" w:rsidR="002D6F6C" w:rsidRDefault="0097013E">
            <w:pPr>
              <w:tabs>
                <w:tab w:val="left" w:pos="69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Частота тока, Гц</w:t>
            </w:r>
            <w:r>
              <w:rPr>
                <w:rFonts w:ascii="Times New Roman" w:hAnsi="Times New Roman"/>
                <w:sz w:val="24"/>
              </w:rPr>
              <w:tab/>
              <w:t>..50-60 Гц</w:t>
            </w:r>
          </w:p>
        </w:tc>
      </w:tr>
      <w:tr w:rsidR="002D6F6C" w14:paraId="73D822D1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5B61C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4.6. Требования к контрольно-измерительным приборам и автоматике</w:t>
            </w:r>
          </w:p>
        </w:tc>
      </w:tr>
      <w:tr w:rsidR="002D6F6C" w14:paraId="021911F0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C932D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4.6.1. Все поставляемые средства измерений должны быть утвержденного типа и иметь свидетельства Федерального агентства по техническому регулированию и метрологии (Росстандарт) об утверждении типа средств измерений. Межповерочный интервал должен быть не менее 12 месяцев.</w:t>
            </w:r>
          </w:p>
          <w:p w14:paraId="6E670ADF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4.6.2. Документация разработчика оборудования должна содержать необходимую информацию в части контрольно-измерительных приборов.</w:t>
            </w:r>
          </w:p>
        </w:tc>
      </w:tr>
      <w:tr w:rsidR="002D6F6C" w14:paraId="0CA456EB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1E0A8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Подраздел 4.7. Требования к комплектности</w:t>
            </w:r>
          </w:p>
        </w:tc>
      </w:tr>
      <w:tr w:rsidR="002D6F6C" w14:paraId="13DFBA27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1D3C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4.7.1. В соответствии с требованиями заказа (договора на поставку), определяющего типы и количество единиц оборудования, в объем поставки так же должны входить:</w:t>
            </w:r>
          </w:p>
          <w:p w14:paraId="0119528E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материалы, запасные части, специальные инструменты и приспособления необходимые для монтажа, выполнения пуско-наладочных работ, эксплуатации, технического обслуживания и ремонта оборудования (при необходимости);</w:t>
            </w:r>
          </w:p>
          <w:p w14:paraId="4380B733" w14:textId="77777777" w:rsidR="002D6F6C" w:rsidRDefault="0097013E">
            <w:pPr>
              <w:tabs>
                <w:tab w:val="left" w:pos="287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упаковка;</w:t>
            </w:r>
          </w:p>
          <w:p w14:paraId="3C010069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паспорт изделия;</w:t>
            </w:r>
          </w:p>
          <w:p w14:paraId="0D799C22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техническая документация, необходимая для обеспечения требований хранения, расконсервации, монтажа, проведения пуско-наладочных работ, испытаний, эксплуатации, технического обслуживания, ремонта и утилизации оборудования.</w:t>
            </w:r>
          </w:p>
          <w:p w14:paraId="0D676B9E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4.7.2. Оборудование должно быть поставлено комплектно и обеспечивать конструктивную и функциональную совместимость.</w:t>
            </w:r>
          </w:p>
          <w:p w14:paraId="539846C4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4.7.3. Оборудование, подлежащее обязательной сертификации должно иметь сертификат соответствия</w:t>
            </w:r>
          </w:p>
        </w:tc>
      </w:tr>
      <w:tr w:rsidR="002D6F6C" w14:paraId="3F1A4DA1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521B2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Подраздел 4.8. Требования к маркировке </w:t>
            </w:r>
          </w:p>
        </w:tc>
      </w:tr>
      <w:tr w:rsidR="002D6F6C" w14:paraId="2C737CF8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FA85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4.8.1. Изготовителем должны быть установлены меры по идентификации и контролю оборудования и его составных частей (деталей, сборочных единиц и т.п.).</w:t>
            </w:r>
          </w:p>
          <w:p w14:paraId="5F37A2C5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 этой целью оборудование (изделие), все детали и сборочные единицы в составе оборудования должны иметь маркировку и сопроводительную документацию, обеспечивающую их </w:t>
            </w:r>
            <w:r>
              <w:rPr>
                <w:rFonts w:ascii="Times New Roman" w:hAnsi="Times New Roman"/>
                <w:sz w:val="24"/>
              </w:rPr>
              <w:lastRenderedPageBreak/>
              <w:t>идентификацию и контроль на всех стадиях жизненного цикла и подтверждающую соблюдение требований соответствующих технологических процессов.</w:t>
            </w:r>
          </w:p>
          <w:p w14:paraId="746C537A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4.8.2. Маркировка должна наноситься непосредственно на изделие. Место нанесения маркировки устанавливают в рабочих чертежах КД на изделие, при этом должны учитываться конструкция, материал, покрытие и условия работы изделия.</w:t>
            </w:r>
          </w:p>
          <w:p w14:paraId="7ACB6F72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4.8.3. Способ нанесения маркировки должен обеспечивать ее качество, нестираемость в процессе эксплуатации, транспортирования и хранения.</w:t>
            </w:r>
          </w:p>
          <w:p w14:paraId="697F59A1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4.8.4. Маркировка должна отвечать следующим требованиям:</w:t>
            </w:r>
          </w:p>
          <w:p w14:paraId="559E6102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быть четкой, разборчивой и не влиять на функционирование изделия;</w:t>
            </w:r>
          </w:p>
          <w:p w14:paraId="37FC7CAB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не должны быть нарушены поверхностная обработка или покрытия, если указанную маркировку в процессе изготовления не заменяют другие средства идентификации;</w:t>
            </w:r>
          </w:p>
          <w:p w14:paraId="6C477805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быть устойчивой к воздействию механических и климатических внешних воздействующих факторов;</w:t>
            </w:r>
          </w:p>
          <w:p w14:paraId="0CD45819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сохраняться в течение всего срока службы изделия в условиях и режимах, установленных в КД, стандартах, ТУ на изделия конкретного типа.</w:t>
            </w:r>
          </w:p>
          <w:p w14:paraId="4944695C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4.8.5. Если изделие составляется из отдельных частей, то для каждой из них необходимо сохранять первоначальную идентификацию.</w:t>
            </w:r>
          </w:p>
          <w:p w14:paraId="608AC3B0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4.8.6. Процесс нанесения маркировки с учетом вышеуказанных требований должен отражаться в технологической документации.</w:t>
            </w:r>
          </w:p>
          <w:p w14:paraId="46822BE7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4.8.7. После изготовления оборудования на корпусе оборудования на видном месте должна быть установлена фирменная табличка и/или нанесена маркировка, содержащая:</w:t>
            </w:r>
          </w:p>
          <w:p w14:paraId="0ADB0527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наименование или товарный знак организации-изготовителя;</w:t>
            </w:r>
          </w:p>
          <w:p w14:paraId="0F61608B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заводской номер изделия по системе нумерации организации-изготовителя;</w:t>
            </w:r>
          </w:p>
          <w:p w14:paraId="25C170E4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год, месяц изготовления;</w:t>
            </w:r>
          </w:p>
          <w:p w14:paraId="09149DBE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информацию по параметрам и характеристикам оборудования;</w:t>
            </w:r>
          </w:p>
          <w:p w14:paraId="76F43D5D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другую информацию в соответствии с договором на поставку.</w:t>
            </w:r>
          </w:p>
          <w:p w14:paraId="12E31399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4.8.8. Маркировка груза (транспортная маркировка) должна содержать как манипуляционные знаки, так и основные, дополнительные и информационные надписи.</w:t>
            </w:r>
          </w:p>
        </w:tc>
      </w:tr>
      <w:tr w:rsidR="002D6F6C" w14:paraId="15793BD6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E0C42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Подраздел 4.9. Требования к упаковке</w:t>
            </w:r>
          </w:p>
        </w:tc>
      </w:tr>
      <w:tr w:rsidR="002D6F6C" w14:paraId="0EE90F55" w14:textId="77777777">
        <w:trPr>
          <w:trHeight w:val="227"/>
        </w:trPr>
        <w:tc>
          <w:tcPr>
            <w:tcW w:w="9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93DE2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4.9.1. Упаковка осуществляется в соответствии с инструкциями Изготовителя.</w:t>
            </w:r>
          </w:p>
          <w:p w14:paraId="02C7E956" w14:textId="77777777" w:rsidR="002D6F6C" w:rsidRDefault="0097013E">
            <w:pPr>
              <w:pStyle w:val="1b"/>
              <w:tabs>
                <w:tab w:val="left" w:pos="1464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4.9.2. Качество и свойства применяемых средств временной противокоррозионной защиты, в том числе упаковочных материалов (далее – средств защиты), должны удовлетворять требованиям соответствующих стандартов, ТУ и соответствовать конкретным условиям транспортирования и хранения оборудования, что должно подтверждаться документами о качестве средств защиты.</w:t>
            </w:r>
          </w:p>
          <w:p w14:paraId="4A4F40BD" w14:textId="77777777" w:rsidR="002D6F6C" w:rsidRDefault="0097013E">
            <w:pPr>
              <w:pStyle w:val="1b"/>
              <w:tabs>
                <w:tab w:val="left" w:pos="1435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4.9.3. Применяемая противокоррозионная защита должна быть легко удаляемой.</w:t>
            </w:r>
          </w:p>
          <w:p w14:paraId="5D736ADA" w14:textId="77777777" w:rsidR="002D6F6C" w:rsidRDefault="0097013E">
            <w:pPr>
              <w:pStyle w:val="1b"/>
              <w:tabs>
                <w:tab w:val="left" w:pos="1966"/>
              </w:tabs>
              <w:spacing w:line="240" w:lineRule="auto"/>
              <w:ind w:left="0" w:firstLine="0"/>
              <w:jc w:val="both"/>
            </w:pPr>
            <w:r>
              <w:t>4.9.4. Должны быть предусмотрены средства временной противокоррозионной защиты, технические и организационные меры, обеспечивающие исправное состояние оборудования после монтажа до ввода в эксплуатацию.</w:t>
            </w:r>
          </w:p>
          <w:p w14:paraId="2FD71605" w14:textId="77777777" w:rsidR="002D6F6C" w:rsidRDefault="0097013E">
            <w:pPr>
              <w:pStyle w:val="1b"/>
              <w:tabs>
                <w:tab w:val="left" w:pos="1431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4.9.5. Конкретные виды упаковки и временной противокоррозионной защиты (в том числе внутренней упаковки и тары) должны быть указаны в ТУ и эксплуатационной документации на оборудование.</w:t>
            </w:r>
          </w:p>
          <w:p w14:paraId="69749C13" w14:textId="77777777" w:rsidR="002D6F6C" w:rsidRDefault="0097013E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4.9.6. Упаковка оборудования должна обеспечить сохранность оборудования в течение 24 месяцев с момента (даты) подписания Акта сдачи-приемки оборудования. Рекомендуемая температура хранения в транспортной упаковке от минус 10 °С до плюс 55 °С. Не допускается наличие паров, кислот и щелочей. Запрещается размещение рядом с источниками тепла.</w:t>
            </w:r>
          </w:p>
          <w:p w14:paraId="39947213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4.9.7. Упакованные изделия должны быть рассчитаны на транспортирование одним или несколькими видами транспорта в соответствии с правилами перевозки грузов, действующими на соответствующем виде транспорта.</w:t>
            </w:r>
          </w:p>
        </w:tc>
      </w:tr>
    </w:tbl>
    <w:p w14:paraId="1DFDEDD9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319A59A0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5. ТРЕБОВАНИЯ ПО ПРАВИЛАМ СДАЧИ И ПРИЕМКИ</w:t>
      </w:r>
    </w:p>
    <w:p w14:paraId="096D2705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03EA50A7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EA0C4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>Подраздел 5.1. Порядок сдачи и приемки</w:t>
            </w:r>
          </w:p>
        </w:tc>
      </w:tr>
      <w:tr w:rsidR="002D6F6C" w14:paraId="75FF7A1A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4DB27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5.1.1. Приемка осуществляется в соответствии с законодательством Российской Федерации.</w:t>
            </w:r>
          </w:p>
          <w:p w14:paraId="53F841C1" w14:textId="77777777" w:rsidR="002D6F6C" w:rsidRDefault="002D6F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2D6F6C" w14:paraId="3A7132BE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C3459" w14:textId="77777777" w:rsidR="002D6F6C" w:rsidRDefault="009701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>Подраздел 5.2. Требования по передаче заказчику технических и иных</w:t>
            </w:r>
            <w:r>
              <w:rPr>
                <w:rFonts w:ascii="Times New Roman" w:hAnsi="Times New Roman"/>
                <w:sz w:val="28"/>
              </w:rPr>
              <w:br/>
              <w:t>документов при поставке стандартного промышленного оборудования</w:t>
            </w:r>
          </w:p>
        </w:tc>
      </w:tr>
      <w:tr w:rsidR="002D6F6C" w14:paraId="752FFF8F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478E5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технический паспорт на Оборудование на русском языке и/или инструкцию пользователя (руководство по эксплуатации) Оборудования на русском языке;</w:t>
            </w:r>
          </w:p>
          <w:p w14:paraId="5D8EA2CF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оформленные гарантийные талоны или аналогичные документы, с указанием заводских (серийных) номеров Оборудования и гарантийного срока;</w:t>
            </w:r>
          </w:p>
          <w:p w14:paraId="4408D330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счет, счет-фактуру, выставленные Заказчику;</w:t>
            </w:r>
          </w:p>
          <w:p w14:paraId="219AB92C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товарную накладную в 2-х экз. (один экземпляр для Заказчика и один экземпляр для Исполнителя);</w:t>
            </w:r>
          </w:p>
          <w:p w14:paraId="47BE9391" w14:textId="77777777" w:rsidR="002D6F6C" w:rsidRDefault="0097013E">
            <w:pPr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акт приема-передачи Оборудования в 2-х экз. (один экземпляр для Заказчика и один экземпляр для Поставщика).</w:t>
            </w:r>
          </w:p>
        </w:tc>
      </w:tr>
    </w:tbl>
    <w:p w14:paraId="4D6C01A4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4387D19C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6. ТРЕБОВАНИЯ К ТРАНСПОРТИРОВАНИЮ</w:t>
      </w:r>
    </w:p>
    <w:p w14:paraId="4C813021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4CD16597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02F64" w14:textId="77777777" w:rsidR="002D6F6C" w:rsidRDefault="0097013E">
            <w:pPr>
              <w:pStyle w:val="1b"/>
              <w:tabs>
                <w:tab w:val="left" w:pos="1966"/>
              </w:tabs>
              <w:spacing w:line="240" w:lineRule="auto"/>
              <w:ind w:left="0" w:firstLine="0"/>
              <w:jc w:val="both"/>
            </w:pPr>
            <w:r>
              <w:t>6.1. Транспортирование оборудования может производиться любым видом закрытого сухопутного транспорта (автомобильным, железнодорожным) на любые расстояния и без ограничения скорости, с любым числом перегрузок при температуре окружающего воздуха от минус 25 °С до плюс 55 °С в вертикальном положении.</w:t>
            </w:r>
          </w:p>
          <w:p w14:paraId="54C6DB28" w14:textId="77777777" w:rsidR="002D6F6C" w:rsidRDefault="0097013E">
            <w:pPr>
              <w:pStyle w:val="1b"/>
              <w:tabs>
                <w:tab w:val="left" w:pos="1843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6.2. Упакованные изделия должны быть закреплены в транспортных средствах, а при использовании открытых транспортных средств – защищены, при необходимости, от атмосферных осадков и брызг воды.</w:t>
            </w:r>
          </w:p>
          <w:p w14:paraId="6BD26079" w14:textId="77777777" w:rsidR="002D6F6C" w:rsidRDefault="0097013E">
            <w:pPr>
              <w:pStyle w:val="1b"/>
              <w:tabs>
                <w:tab w:val="left" w:pos="1834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6.3. На период транспортировки все отверстия должны быть закрыты заглушками.</w:t>
            </w:r>
          </w:p>
          <w:p w14:paraId="00CC0516" w14:textId="77777777" w:rsidR="002D6F6C" w:rsidRDefault="0097013E">
            <w:pPr>
              <w:pStyle w:val="1b"/>
              <w:tabs>
                <w:tab w:val="left" w:pos="1854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6.4. Размещение и крепление в транспортных средствах упакованного оборудования должны обеспечивать его устойчивое положение, исключать возможность ударов друг о друга, а также о стенки транспортных средств.</w:t>
            </w:r>
          </w:p>
          <w:p w14:paraId="2DEBCBAD" w14:textId="77777777" w:rsidR="002D6F6C" w:rsidRDefault="0097013E">
            <w:pPr>
              <w:pStyle w:val="1b"/>
              <w:tabs>
                <w:tab w:val="left" w:pos="1904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6.5. Укладывать упакованное оборудование в штабели следует в соответствии с правилами и нормами, действующими на соответствующем виде транспорта, в соответствии с технической документацией на оборудование, чтобы не допускать деформации транспортной тары при возможных механических нагрузках.</w:t>
            </w:r>
          </w:p>
          <w:p w14:paraId="49F1658B" w14:textId="77777777" w:rsidR="002D6F6C" w:rsidRDefault="0097013E">
            <w:pPr>
              <w:pStyle w:val="1b"/>
              <w:tabs>
                <w:tab w:val="left" w:pos="1872"/>
                <w:tab w:val="left" w:pos="1966"/>
              </w:tabs>
              <w:spacing w:line="240" w:lineRule="auto"/>
              <w:ind w:left="0" w:firstLine="0"/>
              <w:jc w:val="both"/>
            </w:pPr>
            <w:r>
              <w:t>6.6. Условия транспортирования в части климатических внешних воздействующих факторов согласовываются при заключении договора на поставку.</w:t>
            </w:r>
          </w:p>
        </w:tc>
      </w:tr>
    </w:tbl>
    <w:p w14:paraId="18333D28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00BDDF35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7. ТРЕБОВАНИЯ К ХРАНЕНИЮ</w:t>
      </w:r>
    </w:p>
    <w:p w14:paraId="0F28A629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6A616E71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2553" w14:textId="77777777" w:rsidR="002D6F6C" w:rsidRDefault="0097013E">
            <w:pPr>
              <w:tabs>
                <w:tab w:val="left" w:pos="1937"/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7.1. Срок сохраняемости оборудования до ввода его в эксплуатацию должен быть установлен, обоснован и указан в ТУ и эксплуатационных документах, включая в себя срок сохраняемости в упаковке и/или временной противокоррозионной защите, выполненных Изготовителем, и срок монтажа, включая период до ввода в эксплуатацию. Установленные сроки сохраняемости в упаковке и/или временной противокоррозионной защите и сроки монтажа должны быть согласованы при заключении договора на поставку.</w:t>
            </w:r>
          </w:p>
          <w:p w14:paraId="0053A980" w14:textId="77777777" w:rsidR="002D6F6C" w:rsidRDefault="0097013E">
            <w:pPr>
              <w:tabs>
                <w:tab w:val="left" w:pos="1460"/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7.2. В эксплуатационной документации должны быть, в том числе, указаны:</w:t>
            </w:r>
          </w:p>
          <w:p w14:paraId="249A4225" w14:textId="77777777" w:rsidR="002D6F6C" w:rsidRDefault="0097013E">
            <w:pPr>
              <w:tabs>
                <w:tab w:val="left" w:pos="1091"/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условия складирования (на стеллажи; подкладки; при укладке в штабели - наибольшие число слоев, а также наибольшее давление, которое должна выдерживать упаковка оборудования);</w:t>
            </w:r>
          </w:p>
          <w:p w14:paraId="4CE84ED6" w14:textId="77777777" w:rsidR="002D6F6C" w:rsidRDefault="0097013E">
            <w:pPr>
              <w:tabs>
                <w:tab w:val="left" w:pos="1085"/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требования к местам хранения;</w:t>
            </w:r>
          </w:p>
          <w:p w14:paraId="0725399B" w14:textId="77777777" w:rsidR="002D6F6C" w:rsidRDefault="0097013E">
            <w:pPr>
              <w:tabs>
                <w:tab w:val="left" w:pos="1091"/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 меры по обеспечению исправного состояния оборудования в период с момента окончания монтажа до ввода в эксплуатацию;</w:t>
            </w:r>
          </w:p>
          <w:p w14:paraId="3A1FA09D" w14:textId="77777777" w:rsidR="002D6F6C" w:rsidRDefault="0097013E">
            <w:pPr>
              <w:tabs>
                <w:tab w:val="left" w:pos="1091"/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8"/>
              </w:rPr>
              <w:t>-</w:t>
            </w:r>
            <w:r>
              <w:rPr>
                <w:rFonts w:ascii="Times New Roman" w:hAnsi="Times New Roman"/>
                <w:sz w:val="24"/>
              </w:rPr>
              <w:t> специальные требования по безопасности (в том числе пожарной безопасности, взрывобезопасности, биологической безопасности).</w:t>
            </w:r>
          </w:p>
        </w:tc>
      </w:tr>
    </w:tbl>
    <w:p w14:paraId="36D6C2DD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67FE5BA5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РАЗДЕЛ 8. ТРЕБОВАНИЯ К ОБЪЕМУ И/ИЛИ СРОКУ ПРЕДОСТАВЛЕНИЯ</w:t>
      </w:r>
      <w:r>
        <w:rPr>
          <w:rFonts w:ascii="Times New Roman" w:hAnsi="Times New Roman"/>
          <w:sz w:val="28"/>
        </w:rPr>
        <w:br/>
        <w:t>ГАРАНТИЙ</w:t>
      </w:r>
    </w:p>
    <w:p w14:paraId="240EAE19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5A407965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B0CC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Гарантийный срок – не менее 12 месяцев с момента подписания акта пуско-наладки оборудования.</w:t>
            </w:r>
          </w:p>
        </w:tc>
      </w:tr>
    </w:tbl>
    <w:p w14:paraId="767DF81F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59A4B4B2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9. ТРЕБОВАНИЯ ПО БЕЗОПАСНОСТИ</w:t>
      </w:r>
    </w:p>
    <w:p w14:paraId="1EB4FF30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4A69DADB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4D8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9.1. Должны быть предусмотрены конструктивно-технические мероприятия, обеспечивающие безопасность персонала на всех этапах эксплуатации и обслуживания, в том числе при ошибочных действиях персонала. Указания по безопасности обслуживающего и ремонтного персонала должны быть внесены в инструкции по эксплуатации и ремонту оборудования.</w:t>
            </w:r>
          </w:p>
          <w:p w14:paraId="622B12FB" w14:textId="77777777" w:rsidR="002D6F6C" w:rsidRDefault="0097013E">
            <w:pPr>
              <w:tabs>
                <w:tab w:val="left" w:pos="18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9.2. Составные части оборудования, а также применяемые для их изготовления материалы и покрытия должны быть, пожаробезопасными и не выделять токсичных продуктов.</w:t>
            </w:r>
          </w:p>
          <w:p w14:paraId="29841016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9.3. Экологическая безопасность оборудования должна быть обеспечена конструктивными решениями, технологией эксплуатации, технологическими и организационными мероприятиями.</w:t>
            </w:r>
          </w:p>
        </w:tc>
      </w:tr>
    </w:tbl>
    <w:p w14:paraId="59FDEC9B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7D6AE978" w14:textId="77777777" w:rsidR="002D6F6C" w:rsidRDefault="0097013E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10. ДОПОЛНИТЕЛЬНЫЕ (ИНЫЕ) ТРЕБОВАНИЯ</w:t>
      </w:r>
    </w:p>
    <w:p w14:paraId="098BA7C5" w14:textId="77777777" w:rsidR="002D6F6C" w:rsidRDefault="002D6F6C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6663E271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D7C1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10.1. Поставщик должен обеспечить проведение монтажных и пусконаладочных работ. Все работы по поставке, монтажу и пуско-наладке должны осуществляться гражданами Российской Федерации.</w:t>
            </w:r>
          </w:p>
          <w:p w14:paraId="6DF4E0E0" w14:textId="77777777" w:rsidR="002D6F6C" w:rsidRDefault="009701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10.2. Производственная, монтажная и эксплуатационная технологичность должны обеспечивать достижение заданных показателей качества оборудования в условиях его изготовления, монтажа и эксплуатации.</w:t>
            </w:r>
          </w:p>
        </w:tc>
      </w:tr>
    </w:tbl>
    <w:p w14:paraId="20F2E6A3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2186D009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11. ТРЕБОВАНИЯ К КОЛИЧЕСТВУ, МЕСТУ И СРОКУ</w:t>
      </w:r>
      <w:r>
        <w:rPr>
          <w:rFonts w:ascii="Times New Roman" w:hAnsi="Times New Roman"/>
          <w:sz w:val="28"/>
        </w:rPr>
        <w:br/>
        <w:t>(ПЕРИОДИЧНОСТИ) ПОСТАВКИ</w:t>
      </w:r>
    </w:p>
    <w:p w14:paraId="4BE7B46C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7BC88367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574A" w14:textId="2C40C65D" w:rsidR="002D6F6C" w:rsidRPr="00C74BC9" w:rsidRDefault="00C74BC9" w:rsidP="00EC598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</w:rPr>
            </w:pPr>
            <w:r w:rsidRPr="00C74BC9">
              <w:rPr>
                <w:rFonts w:ascii="Times New Roman" w:hAnsi="Times New Roman"/>
                <w:sz w:val="24"/>
              </w:rPr>
              <w:t xml:space="preserve">Разовая поставка. Поставка осуществляется собственным транспортом Поставщика </w:t>
            </w:r>
          </w:p>
        </w:tc>
      </w:tr>
    </w:tbl>
    <w:p w14:paraId="5665F83C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20F0EC57" w14:textId="77777777" w:rsidR="002D6F6C" w:rsidRDefault="0097013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РАЗДЕЛ 12. ТРЕБОВАНИЕ К ФОРМЕ ПРЕДСТАВЛЯЕМОЙ ИНФОРМАЦИИ</w:t>
      </w:r>
    </w:p>
    <w:p w14:paraId="55A79793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6"/>
      </w:tblGrid>
      <w:tr w:rsidR="002D6F6C" w14:paraId="4C7682D5" w14:textId="77777777">
        <w:trPr>
          <w:trHeight w:val="227"/>
        </w:trPr>
        <w:tc>
          <w:tcPr>
            <w:tcW w:w="9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D7AB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12.1. Документация, передаваемая Заказчику, должна быть представлена на русском языке.</w:t>
            </w:r>
          </w:p>
          <w:p w14:paraId="4C5478DD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12.2. Документация, поставляемая с изделием, должна быть упакована во влагонепроницаемый пакет, который помещается в первое грузовое место вместе с изделием. Один экземпляр упаковочного листа должен быть вложен в упаковочную тару вместе с изделием. Второй – во влагонепроницаемом пакете должен крепиться снаружи упаковочной тары.</w:t>
            </w:r>
          </w:p>
          <w:p w14:paraId="5FAD8389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12.3. Документация должна содержать, но не ограничиваться, следующее:</w:t>
            </w:r>
          </w:p>
          <w:p w14:paraId="1E9C0307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- техническое описание для всех единиц оборудования с подтверждением требуемых параметров;</w:t>
            </w:r>
          </w:p>
          <w:p w14:paraId="622CD85E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- общую компоновку оборудования и сборочные чертежи;</w:t>
            </w:r>
          </w:p>
          <w:p w14:paraId="6D756A28" w14:textId="77777777" w:rsidR="002D6F6C" w:rsidRDefault="0097013E">
            <w:pPr>
              <w:pStyle w:val="1b"/>
              <w:spacing w:line="240" w:lineRule="auto"/>
              <w:ind w:left="0" w:firstLine="0"/>
              <w:jc w:val="both"/>
            </w:pPr>
            <w:r>
              <w:t>- копии сертификатов соответствия оборудования НД, а также копии других имеющихся сертификатов, лицензий, разрешений, актов испытаний и других документов, подтверждающих соответствие оборудования требованиям, предъявляемым настоящим ТЗ.</w:t>
            </w:r>
          </w:p>
        </w:tc>
      </w:tr>
    </w:tbl>
    <w:p w14:paraId="7985FA6B" w14:textId="77777777" w:rsidR="002D6F6C" w:rsidRDefault="002D6F6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sectPr w:rsidR="002D6F6C" w:rsidSect="00BF527E">
      <w:headerReference w:type="default" r:id="rId7"/>
      <w:pgSz w:w="11906" w:h="16838"/>
      <w:pgMar w:top="709" w:right="566" w:bottom="709" w:left="1276" w:header="284" w:footer="6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AB82A6" w14:textId="77777777" w:rsidR="00766455" w:rsidRDefault="00766455">
      <w:pPr>
        <w:spacing w:after="0" w:line="240" w:lineRule="auto"/>
      </w:pPr>
      <w:r>
        <w:separator/>
      </w:r>
    </w:p>
  </w:endnote>
  <w:endnote w:type="continuationSeparator" w:id="0">
    <w:p w14:paraId="3B950CAF" w14:textId="77777777" w:rsidR="00766455" w:rsidRDefault="0076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528BA" w14:textId="77777777" w:rsidR="00766455" w:rsidRDefault="00766455">
      <w:pPr>
        <w:spacing w:after="0" w:line="240" w:lineRule="auto"/>
      </w:pPr>
      <w:r>
        <w:separator/>
      </w:r>
    </w:p>
  </w:footnote>
  <w:footnote w:type="continuationSeparator" w:id="0">
    <w:p w14:paraId="1E71B2B1" w14:textId="77777777" w:rsidR="00766455" w:rsidRDefault="00766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B5BA8" w14:textId="77777777" w:rsidR="002D6F6C" w:rsidRDefault="0097013E" w:rsidP="00BF527E">
    <w:pPr>
      <w:framePr w:h="363" w:hRule="exact" w:wrap="around" w:vAnchor="text" w:hAnchor="margin" w:xAlign="right" w:y="288"/>
    </w:pPr>
    <w:r>
      <w:fldChar w:fldCharType="begin"/>
    </w:r>
    <w:r>
      <w:instrText xml:space="preserve">PAGE </w:instrText>
    </w:r>
    <w:r>
      <w:fldChar w:fldCharType="separate"/>
    </w:r>
    <w:r w:rsidR="00784462">
      <w:rPr>
        <w:noProof/>
      </w:rPr>
      <w:t>8</w:t>
    </w:r>
    <w:r>
      <w:fldChar w:fldCharType="end"/>
    </w:r>
  </w:p>
  <w:p w14:paraId="6D57E637" w14:textId="77777777" w:rsidR="002D6F6C" w:rsidRDefault="002D6F6C" w:rsidP="00BF527E">
    <w:pPr>
      <w:pStyle w:val="af2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1727B"/>
    <w:multiLevelType w:val="multilevel"/>
    <w:tmpl w:val="6DE0A4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pStyle w:val="3"/>
      <w:lvlText w:val="%3."/>
      <w:lvlJc w:val="right"/>
      <w:pPr>
        <w:ind w:left="2160" w:hanging="180"/>
      </w:pPr>
    </w:lvl>
    <w:lvl w:ilvl="3">
      <w:start w:val="1"/>
      <w:numFmt w:val="decimal"/>
      <w:pStyle w:val="4"/>
      <w:lvlText w:val="%4."/>
      <w:lvlJc w:val="left"/>
      <w:pPr>
        <w:ind w:left="2880" w:hanging="360"/>
      </w:pPr>
    </w:lvl>
    <w:lvl w:ilvl="4">
      <w:start w:val="1"/>
      <w:numFmt w:val="lowerLetter"/>
      <w:pStyle w:val="5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F6C"/>
    <w:rsid w:val="002D6F6C"/>
    <w:rsid w:val="00333D2E"/>
    <w:rsid w:val="0034751A"/>
    <w:rsid w:val="00766455"/>
    <w:rsid w:val="00784462"/>
    <w:rsid w:val="00912D10"/>
    <w:rsid w:val="0097013E"/>
    <w:rsid w:val="00BF527E"/>
    <w:rsid w:val="00C74BC9"/>
    <w:rsid w:val="00CC1A9F"/>
    <w:rsid w:val="00EC598E"/>
    <w:rsid w:val="00FD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0A801"/>
  <w15:docId w15:val="{00E3D3C9-6055-45E3-90B6-A47E27C00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ind w:right="-113"/>
      <w:jc w:val="center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spacing w:before="240" w:after="60" w:line="240" w:lineRule="auto"/>
      <w:ind w:left="1420" w:hanging="720"/>
      <w:jc w:val="both"/>
      <w:outlineLvl w:val="1"/>
    </w:pPr>
    <w:rPr>
      <w:rFonts w:ascii="Times New Roman" w:hAnsi="Times New Roman"/>
      <w:caps/>
      <w:sz w:val="28"/>
    </w:rPr>
  </w:style>
  <w:style w:type="paragraph" w:styleId="30">
    <w:name w:val="heading 3"/>
    <w:next w:val="a"/>
    <w:link w:val="31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0">
    <w:name w:val="heading 4"/>
    <w:next w:val="a"/>
    <w:link w:val="41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0">
    <w:name w:val="heading 5"/>
    <w:next w:val="a"/>
    <w:link w:val="51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rPr>
      <w:rFonts w:ascii="XO Thames" w:hAnsi="XO Thames"/>
      <w:sz w:val="28"/>
    </w:rPr>
  </w:style>
  <w:style w:type="paragraph" w:customStyle="1" w:styleId="5">
    <w:name w:val="Пункт_5"/>
    <w:basedOn w:val="a"/>
    <w:link w:val="52"/>
    <w:pPr>
      <w:numPr>
        <w:ilvl w:val="4"/>
        <w:numId w:val="1"/>
      </w:num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52">
    <w:name w:val="Пункт_5"/>
    <w:basedOn w:val="1"/>
    <w:link w:val="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hAnsi="Times New Roman"/>
      <w:sz w:val="28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Нижний колонтитул Знак"/>
    <w:basedOn w:val="1"/>
    <w:link w:val="a3"/>
    <w:uiPriority w:val="99"/>
    <w:rPr>
      <w:rFonts w:ascii="Times New Roman" w:hAnsi="Times New Roman"/>
      <w:sz w:val="28"/>
    </w:rPr>
  </w:style>
  <w:style w:type="character" w:customStyle="1" w:styleId="31">
    <w:name w:val="Заголовок 3 Знак"/>
    <w:link w:val="30"/>
    <w:rPr>
      <w:rFonts w:ascii="XO Thames" w:hAnsi="XO Thames"/>
      <w:b/>
      <w:sz w:val="26"/>
    </w:rPr>
  </w:style>
  <w:style w:type="paragraph" w:customStyle="1" w:styleId="3">
    <w:name w:val="Подзаголовок_3"/>
    <w:basedOn w:val="a"/>
    <w:link w:val="32"/>
    <w:pPr>
      <w:keepNext/>
      <w:numPr>
        <w:ilvl w:val="2"/>
        <w:numId w:val="1"/>
      </w:numPr>
      <w:spacing w:before="240" w:after="120" w:line="240" w:lineRule="auto"/>
      <w:jc w:val="both"/>
      <w:outlineLvl w:val="2"/>
    </w:pPr>
    <w:rPr>
      <w:rFonts w:ascii="Times New Roman" w:hAnsi="Times New Roman"/>
      <w:b/>
      <w:sz w:val="28"/>
    </w:rPr>
  </w:style>
  <w:style w:type="character" w:customStyle="1" w:styleId="32">
    <w:name w:val="Подзаголовок_3"/>
    <w:basedOn w:val="1"/>
    <w:link w:val="3"/>
    <w:rPr>
      <w:rFonts w:ascii="Times New Roman" w:hAnsi="Times New Roman"/>
      <w:b/>
      <w:sz w:val="28"/>
    </w:rPr>
  </w:style>
  <w:style w:type="paragraph" w:customStyle="1" w:styleId="a5">
    <w:link w:val="a6"/>
    <w:semiHidden/>
    <w:unhideWhenUsed/>
    <w:rPr>
      <w:rFonts w:ascii="Times New Roman" w:hAnsi="Times New Roman"/>
      <w:sz w:val="28"/>
    </w:rPr>
  </w:style>
  <w:style w:type="character" w:customStyle="1" w:styleId="a6">
    <w:link w:val="a5"/>
    <w:semiHidden/>
    <w:unhideWhenUsed/>
    <w:rPr>
      <w:rFonts w:ascii="Times New Roman" w:hAnsi="Times New Roman"/>
      <w:sz w:val="28"/>
    </w:rPr>
  </w:style>
  <w:style w:type="paragraph" w:customStyle="1" w:styleId="4">
    <w:name w:val="Пункт_4"/>
    <w:basedOn w:val="a"/>
    <w:link w:val="44"/>
    <w:pPr>
      <w:numPr>
        <w:ilvl w:val="3"/>
        <w:numId w:val="1"/>
      </w:num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44">
    <w:name w:val="Пункт_4"/>
    <w:basedOn w:val="1"/>
    <w:link w:val="4"/>
    <w:rPr>
      <w:rFonts w:ascii="Times New Roman" w:hAnsi="Times New Roman"/>
      <w:sz w:val="28"/>
    </w:rPr>
  </w:style>
  <w:style w:type="paragraph" w:customStyle="1" w:styleId="12">
    <w:name w:val="Абзац списка1"/>
    <w:basedOn w:val="a"/>
    <w:link w:val="13"/>
    <w:pPr>
      <w:spacing w:after="0" w:line="240" w:lineRule="auto"/>
      <w:ind w:left="720"/>
    </w:pPr>
    <w:rPr>
      <w:rFonts w:ascii="Times New Roman" w:hAnsi="Times New Roman"/>
      <w:sz w:val="28"/>
    </w:rPr>
  </w:style>
  <w:style w:type="character" w:customStyle="1" w:styleId="13">
    <w:name w:val="Абзац списка1"/>
    <w:basedOn w:val="1"/>
    <w:link w:val="12"/>
    <w:rPr>
      <w:rFonts w:ascii="Times New Roman" w:hAnsi="Times New Roman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2"/>
    </w:rPr>
  </w:style>
  <w:style w:type="character" w:customStyle="1" w:styleId="ConsPlusTitle0">
    <w:name w:val="ConsPlusTitle"/>
    <w:link w:val="ConsPlusTitle"/>
    <w:rPr>
      <w:b/>
      <w:sz w:val="22"/>
    </w:rPr>
  </w:style>
  <w:style w:type="paragraph" w:customStyle="1" w:styleId="14">
    <w:name w:val="Знак примечания1"/>
    <w:link w:val="a7"/>
    <w:rPr>
      <w:sz w:val="16"/>
    </w:rPr>
  </w:style>
  <w:style w:type="character" w:styleId="a7">
    <w:name w:val="annotation reference"/>
    <w:link w:val="14"/>
    <w:rPr>
      <w:sz w:val="16"/>
    </w:rPr>
  </w:style>
  <w:style w:type="paragraph" w:styleId="a8">
    <w:name w:val="annotation text"/>
    <w:basedOn w:val="a"/>
    <w:link w:val="a9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9">
    <w:name w:val="Текст примечания Знак"/>
    <w:basedOn w:val="1"/>
    <w:link w:val="a8"/>
    <w:rPr>
      <w:rFonts w:ascii="Times New Roman" w:hAnsi="Times New Roman"/>
      <w:sz w:val="20"/>
    </w:rPr>
  </w:style>
  <w:style w:type="paragraph" w:customStyle="1" w:styleId="15">
    <w:name w:val="Основной шрифт абзаца1"/>
  </w:style>
  <w:style w:type="paragraph" w:customStyle="1" w:styleId="Style8">
    <w:name w:val="Style8"/>
    <w:basedOn w:val="a"/>
    <w:link w:val="Style80"/>
    <w:pPr>
      <w:widowControl w:val="0"/>
      <w:spacing w:after="0" w:line="326" w:lineRule="exact"/>
      <w:ind w:firstLine="706"/>
      <w:jc w:val="both"/>
    </w:pPr>
    <w:rPr>
      <w:rFonts w:ascii="Times New Roman" w:hAnsi="Times New Roman"/>
      <w:sz w:val="24"/>
    </w:rPr>
  </w:style>
  <w:style w:type="character" w:customStyle="1" w:styleId="Style80">
    <w:name w:val="Style8"/>
    <w:basedOn w:val="1"/>
    <w:link w:val="Style8"/>
    <w:rPr>
      <w:rFonts w:ascii="Times New Roman" w:hAnsi="Times New Roman"/>
      <w:sz w:val="24"/>
    </w:rPr>
  </w:style>
  <w:style w:type="paragraph" w:styleId="aa">
    <w:name w:val="annotation subject"/>
    <w:basedOn w:val="a8"/>
    <w:next w:val="a8"/>
    <w:link w:val="ab"/>
    <w:rPr>
      <w:b/>
    </w:rPr>
  </w:style>
  <w:style w:type="character" w:customStyle="1" w:styleId="ab">
    <w:name w:val="Тема примечания Знак"/>
    <w:basedOn w:val="a9"/>
    <w:link w:val="aa"/>
    <w:rPr>
      <w:rFonts w:ascii="Times New Roman" w:hAnsi="Times New Roman"/>
      <w:b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4"/>
    </w:rPr>
  </w:style>
  <w:style w:type="paragraph" w:customStyle="1" w:styleId="FontStyle23">
    <w:name w:val="Font Style23"/>
    <w:link w:val="FontStyle230"/>
    <w:rPr>
      <w:rFonts w:ascii="Times New Roman" w:hAnsi="Times New Roman"/>
      <w:sz w:val="22"/>
    </w:rPr>
  </w:style>
  <w:style w:type="character" w:customStyle="1" w:styleId="FontStyle230">
    <w:name w:val="Font Style23"/>
    <w:link w:val="FontStyle23"/>
    <w:rPr>
      <w:rFonts w:ascii="Times New Roman" w:hAnsi="Times New Roman"/>
      <w:sz w:val="22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51">
    <w:name w:val="Заголовок 5 Знак"/>
    <w:link w:val="50"/>
    <w:rPr>
      <w:rFonts w:ascii="XO Thames" w:hAnsi="XO Thames"/>
      <w:b/>
      <w:sz w:val="22"/>
    </w:rPr>
  </w:style>
  <w:style w:type="paragraph" w:styleId="ae">
    <w:name w:val="No Spacing"/>
    <w:link w:val="af"/>
    <w:rPr>
      <w:rFonts w:ascii="Times New Roman" w:hAnsi="Times New Roman"/>
      <w:sz w:val="28"/>
    </w:rPr>
  </w:style>
  <w:style w:type="character" w:customStyle="1" w:styleId="af">
    <w:name w:val="Без интервала Знак"/>
    <w:link w:val="ae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16">
    <w:name w:val="Знак сноски1"/>
    <w:link w:val="af0"/>
    <w:rPr>
      <w:vertAlign w:val="superscript"/>
    </w:rPr>
  </w:style>
  <w:style w:type="character" w:styleId="af0">
    <w:name w:val="footnote reference"/>
    <w:link w:val="16"/>
    <w:rPr>
      <w:vertAlign w:val="superscript"/>
    </w:rPr>
  </w:style>
  <w:style w:type="paragraph" w:customStyle="1" w:styleId="17">
    <w:name w:val="Гиперссылка1"/>
    <w:link w:val="af1"/>
    <w:rPr>
      <w:color w:val="0000FF"/>
      <w:u w:val="single"/>
    </w:rPr>
  </w:style>
  <w:style w:type="character" w:styleId="af1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8">
    <w:name w:val="toc 1"/>
    <w:basedOn w:val="a"/>
    <w:next w:val="a"/>
    <w:link w:val="19"/>
    <w:uiPriority w:val="39"/>
    <w:pPr>
      <w:spacing w:before="360" w:after="0" w:line="240" w:lineRule="auto"/>
    </w:pPr>
    <w:rPr>
      <w:rFonts w:ascii="Arial" w:hAnsi="Arial"/>
      <w:b/>
      <w:caps/>
      <w:sz w:val="24"/>
    </w:rPr>
  </w:style>
  <w:style w:type="character" w:customStyle="1" w:styleId="19">
    <w:name w:val="Оглавление 1 Знак"/>
    <w:basedOn w:val="1"/>
    <w:link w:val="18"/>
    <w:rPr>
      <w:rFonts w:ascii="Arial" w:hAnsi="Arial"/>
      <w:b/>
      <w:caps/>
      <w:sz w:val="24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f3">
    <w:name w:val="Верхний колонтитул Знак"/>
    <w:basedOn w:val="1"/>
    <w:link w:val="af2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ConsPlusNormal">
    <w:name w:val="ConsPlusNormal"/>
    <w:link w:val="ConsPlusNormal0"/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styleId="35">
    <w:name w:val="Body Text 3"/>
    <w:basedOn w:val="a"/>
    <w:link w:val="36"/>
    <w:pPr>
      <w:spacing w:after="120" w:line="240" w:lineRule="auto"/>
    </w:pPr>
    <w:rPr>
      <w:rFonts w:ascii="Times New Roman" w:hAnsi="Times New Roman"/>
      <w:sz w:val="16"/>
    </w:rPr>
  </w:style>
  <w:style w:type="character" w:customStyle="1" w:styleId="36">
    <w:name w:val="Основной текст 3 Знак"/>
    <w:basedOn w:val="1"/>
    <w:link w:val="35"/>
    <w:rPr>
      <w:rFonts w:ascii="Times New Roman" w:hAnsi="Times New Roman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a">
    <w:name w:val="Строгий1"/>
    <w:link w:val="af4"/>
    <w:rPr>
      <w:b/>
    </w:rPr>
  </w:style>
  <w:style w:type="character" w:styleId="af4">
    <w:name w:val="Strong"/>
    <w:link w:val="1a"/>
    <w:rPr>
      <w:b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af5">
    <w:name w:val="Normal (Web)"/>
    <w:basedOn w:val="a"/>
    <w:link w:val="af6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6">
    <w:name w:val="Обычный (Интернет) Знак"/>
    <w:basedOn w:val="1"/>
    <w:link w:val="af5"/>
    <w:rPr>
      <w:rFonts w:ascii="Times New Roman" w:hAnsi="Times New Roman"/>
      <w:sz w:val="24"/>
    </w:rPr>
  </w:style>
  <w:style w:type="paragraph" w:styleId="af7">
    <w:name w:val="Document Map"/>
    <w:basedOn w:val="a"/>
    <w:link w:val="af8"/>
    <w:pPr>
      <w:spacing w:after="0" w:line="240" w:lineRule="auto"/>
    </w:pPr>
    <w:rPr>
      <w:rFonts w:ascii="Tahoma" w:hAnsi="Tahoma"/>
      <w:sz w:val="16"/>
    </w:rPr>
  </w:style>
  <w:style w:type="character" w:customStyle="1" w:styleId="af8">
    <w:name w:val="Схема документа Знак"/>
    <w:basedOn w:val="1"/>
    <w:link w:val="af7"/>
    <w:rPr>
      <w:rFonts w:ascii="Tahoma" w:hAnsi="Tahoma"/>
      <w:sz w:val="16"/>
    </w:rPr>
  </w:style>
  <w:style w:type="paragraph" w:customStyle="1" w:styleId="aHeader">
    <w:name w:val="a_Header"/>
    <w:basedOn w:val="a"/>
    <w:link w:val="aHeader0"/>
    <w:pPr>
      <w:tabs>
        <w:tab w:val="left" w:pos="1985"/>
      </w:tabs>
      <w:spacing w:after="60" w:line="240" w:lineRule="auto"/>
      <w:jc w:val="center"/>
    </w:pPr>
    <w:rPr>
      <w:rFonts w:ascii="Courier New CYR" w:hAnsi="Courier New CYR"/>
      <w:sz w:val="24"/>
    </w:rPr>
  </w:style>
  <w:style w:type="character" w:customStyle="1" w:styleId="aHeader0">
    <w:name w:val="a_Header"/>
    <w:basedOn w:val="1"/>
    <w:link w:val="aHeader"/>
    <w:rPr>
      <w:rFonts w:ascii="Courier New CYR" w:hAnsi="Courier New CYR"/>
      <w:sz w:val="24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b">
    <w:name w:val="Основной текст1"/>
    <w:basedOn w:val="a"/>
    <w:link w:val="1c"/>
    <w:pPr>
      <w:spacing w:after="0" w:line="83" w:lineRule="exact"/>
      <w:ind w:left="1240" w:hanging="1240"/>
    </w:pPr>
    <w:rPr>
      <w:rFonts w:ascii="Times New Roman" w:hAnsi="Times New Roman"/>
      <w:sz w:val="24"/>
    </w:rPr>
  </w:style>
  <w:style w:type="character" w:customStyle="1" w:styleId="1c">
    <w:name w:val="Основной текст1"/>
    <w:basedOn w:val="1"/>
    <w:link w:val="1b"/>
    <w:rPr>
      <w:rFonts w:ascii="Times New Roman" w:hAnsi="Times New Roman"/>
      <w:sz w:val="24"/>
    </w:rPr>
  </w:style>
  <w:style w:type="paragraph" w:styleId="af9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a">
    <w:name w:val="Подзаголовок Знак"/>
    <w:link w:val="af9"/>
    <w:rPr>
      <w:rFonts w:ascii="XO Thames" w:hAnsi="XO Thames"/>
      <w:i/>
      <w:sz w:val="24"/>
    </w:rPr>
  </w:style>
  <w:style w:type="paragraph" w:customStyle="1" w:styleId="1d">
    <w:name w:val="Выделение1"/>
    <w:link w:val="afb"/>
    <w:rPr>
      <w:i/>
    </w:rPr>
  </w:style>
  <w:style w:type="character" w:styleId="afb">
    <w:name w:val="Emphasis"/>
    <w:link w:val="1d"/>
    <w:rPr>
      <w:i/>
    </w:rPr>
  </w:style>
  <w:style w:type="paragraph" w:styleId="afc">
    <w:name w:val="Title"/>
    <w:next w:val="a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Заголовок Знак"/>
    <w:link w:val="afc"/>
    <w:rPr>
      <w:rFonts w:ascii="XO Thames" w:hAnsi="XO Thames"/>
      <w:b/>
      <w:caps/>
      <w:sz w:val="40"/>
    </w:rPr>
  </w:style>
  <w:style w:type="character" w:customStyle="1" w:styleId="41">
    <w:name w:val="Заголовок 4 Знак"/>
    <w:link w:val="40"/>
    <w:rPr>
      <w:rFonts w:ascii="XO Thames" w:hAnsi="XO Thames"/>
      <w:b/>
      <w:sz w:val="24"/>
    </w:rPr>
  </w:style>
  <w:style w:type="paragraph" w:customStyle="1" w:styleId="1e">
    <w:name w:val="Номер страницы1"/>
    <w:basedOn w:val="15"/>
    <w:link w:val="afe"/>
  </w:style>
  <w:style w:type="character" w:styleId="afe">
    <w:name w:val="page number"/>
    <w:basedOn w:val="a0"/>
    <w:link w:val="1e"/>
  </w:style>
  <w:style w:type="paragraph" w:customStyle="1" w:styleId="1f">
    <w:name w:val="Замещающий текст1"/>
    <w:link w:val="aff"/>
    <w:rPr>
      <w:rFonts w:ascii="Times New Roman" w:hAnsi="Times New Roman"/>
      <w:color w:val="808080"/>
    </w:rPr>
  </w:style>
  <w:style w:type="character" w:styleId="aff">
    <w:name w:val="Placeholder Text"/>
    <w:link w:val="1f"/>
    <w:rPr>
      <w:rFonts w:ascii="Times New Roman" w:hAnsi="Times New Roman"/>
      <w:color w:val="808080"/>
    </w:rPr>
  </w:style>
  <w:style w:type="paragraph" w:styleId="aff0">
    <w:name w:val="Balloon Text"/>
    <w:basedOn w:val="a"/>
    <w:link w:val="aff1"/>
    <w:pPr>
      <w:spacing w:after="0" w:line="240" w:lineRule="auto"/>
    </w:pPr>
    <w:rPr>
      <w:rFonts w:ascii="Tahoma" w:hAnsi="Tahoma"/>
      <w:sz w:val="16"/>
    </w:rPr>
  </w:style>
  <w:style w:type="character" w:customStyle="1" w:styleId="aff1">
    <w:name w:val="Текст выноски Знак"/>
    <w:basedOn w:val="1"/>
    <w:link w:val="aff0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caps/>
      <w:sz w:val="28"/>
    </w:rPr>
  </w:style>
  <w:style w:type="paragraph" w:styleId="aff2">
    <w:name w:val="List Paragraph"/>
    <w:basedOn w:val="a"/>
    <w:link w:val="aff3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ff3">
    <w:name w:val="Абзац списка Знак"/>
    <w:basedOn w:val="1"/>
    <w:link w:val="aff2"/>
    <w:rPr>
      <w:rFonts w:ascii="Times New Roman" w:hAnsi="Times New Roman"/>
      <w:sz w:val="28"/>
    </w:rPr>
  </w:style>
  <w:style w:type="table" w:customStyle="1" w:styleId="1f0">
    <w:name w:val="Сетка таблицы1"/>
    <w:basedOn w:val="a1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4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2293</Words>
  <Characters>13075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 Андрей Михайлович</dc:creator>
  <cp:lastModifiedBy>Илья Будаев</cp:lastModifiedBy>
  <cp:revision>6</cp:revision>
  <dcterms:created xsi:type="dcterms:W3CDTF">2024-05-21T07:56:00Z</dcterms:created>
  <dcterms:modified xsi:type="dcterms:W3CDTF">2025-02-05T14:42:00Z</dcterms:modified>
</cp:coreProperties>
</file>