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_rels/document.xml.rels" ContentType="application/vnd.openxmlformats-package.relationships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5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164"/>
        <w:gridCol w:w="3228"/>
        <w:gridCol w:w="3179"/>
      </w:tblGrid>
      <w:tr>
        <w:trPr/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  <w:lang w:val="en-US" w:eastAsia="ru-RU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en-US" w:eastAsia="ru-RU" w:bidi="ar-SA"/>
              </w:rPr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left="4956" w:right="0" w:hanging="4950"/>
              <w:jc w:val="left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ТЕХНИЧЕСКОЕ ЗАДАНИЕ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_____________№___________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Предмет закупки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u w:val="single"/>
          <w:lang w:eastAsia="ru-RU"/>
        </w:rPr>
        <w:t>Смоточное устройство инерционное двухшпиндельное с вертикальным расположение шпинделей и регулировкой натяжения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Снежинск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2024 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Техническое задание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поставку смоточного устройства инерционного двухшпиндельного с вертикальным расположение шпинделей и регулировкой натяжения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СОДЕРЖАНИЕ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1. ОБЩИЕ СВЕДЕНИЯ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1.1. Предмет закупки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1.3. Код ОКПД 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>
      <w:pPr>
        <w:pStyle w:val="Normal"/>
        <w:spacing w:lineRule="auto" w:line="240" w:before="0" w:after="0"/>
        <w:ind w:left="851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20. ПЕРЕЧЕНЬ ПРИЛОЖЕНИЙ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ПРИЛОЖЕНИЕ №1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1. ОБЩИЕ СВЕДЕНИЯ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273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Смоточное устройство инерционное двухшпиндельное с вертикальным расположение шпинделей и регулировкой натяжения (далее – оборудование).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новым, выпуска не ранее 2024 года, (не бывшим в употреблении, не восстановленным, если это не оговорено требованиями технического задания), не являться выставочным образцом, свободным от прав третьих лиц.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28.41.31.130 «Машины правильные металлообрабатывающие»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Область применения – производственная деятельность.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Назначение - смотка с барабана длинномерного материала двумя проводами круглого или прямоугольного сечения в параллель.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8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26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Климатическое исполнение и категория размещения оборудования по ГОСТ 15150 – УХЛ 4.1.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Место установки оборудования – капитальное здание.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Температура эксплуатации от 15 до 35 °С.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Относительная влажность воздуха от 40 до 85 %..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предназначено для смотки с барабана длинномерного материала двумя проводами круглого или прямоугольного сечения в параллель.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должно обеспечивать: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равномерное сматывание обмоточных проводов;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независимую регулировку натяжения для каждого шпинделя.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Геометрические размеры оборудования не должны превышать: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длина – 1200 мм;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ширина – 900 мм;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высота – 1700 мм.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Максимальная общая масса оборудования – не более 200 кг.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к основным эксплуатационным показателям: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шпинделей для монтажа катушек с проводом не менее двух;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расположение шпинделей – вертикальное;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устройство натяжения – механическое, регулируемое, независимое для каждого шпинделя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максимальный диаметр щеки барабана – 800мм.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диаметр осевого отверстия барабана – 45 мм.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максимальная ширина барабана – 580 мм.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Срок службы оборудования – не менее 5 лет.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Срок гарантии – не менее 12 месяцев с момента поставки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Конструкция оборудования должна обеспечивать: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возможность установки без устройства дополнительного фундамента;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возможность крепления к полу анкерными болтами;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Конструкцией оборудования должна быть предусмотрена возможность сочетания нескольких установок для питания одного намоточного станка.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Инструкция по монтажу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Лакокрасочное покрытие и защитные элементы оборудования должны быть стойкими к смазочным веществам, используемым при эксплуатации и поверхностно-активным веществам, используемым при обслуживании и влажной уборке.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не предъявляются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комплект поставки должны входить: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Смоточное устройство инерционное двухшпиндельное вертикальное;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Комплект крепежных изделий;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Комплект технической документации:</w:t>
            </w:r>
          </w:p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инструкция по техническому обслуживанию;</w:t>
            </w:r>
          </w:p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инструкция по монтажу;</w:t>
            </w:r>
          </w:p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паспорт (формуляр).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Маркировка оборудования должна соответствовать ГОСТ 26828-86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в зависимости от способа транспортировки поставляется в специальной упаковке, обеспечивающей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center" w:pos="4677" w:leader="none"/>
                <w:tab w:val="right" w:pos="9355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Порядок сдачи и приемки продукции – в соответствии с условиями проекта договора.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Ответственность за достаточность и надежность упаковки несет Поставщик.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Поставщик должен гарантировать устойчивую работу оборудования в течение, не менее 12 месяцев, с даты ввода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технической документации на оборудование должны быть указаны меры безопасности при работе с ним.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Качество поставляемого оборудования должно соответствовать требованиям данного технического задания. Качество оборудования при поставке должно подтверждаться паспортом.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6"/>
          <w:lang w:eastAsia="ru-RU"/>
        </w:rPr>
        <w:t>РАЗДЕЛ 14. ТЕХНИЧЕСКОЕ СОПРОВОЖДЕНИЕ ТОВАРА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поставку комплектующих, вышедших из строя и требующих замены;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>
      <w:pPr>
        <w:pStyle w:val="Normal"/>
        <w:tabs>
          <w:tab w:val="clear" w:pos="708"/>
          <w:tab w:val="left" w:pos="54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tabs>
          <w:tab w:val="clear" w:pos="708"/>
          <w:tab w:val="left" w:pos="54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>
      <w:pPr>
        <w:pStyle w:val="Normal"/>
        <w:tabs>
          <w:tab w:val="clear" w:pos="708"/>
          <w:tab w:val="left" w:pos="54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lang w:eastAsia="ru-RU"/>
              </w:rPr>
              <w:t>Въезд на территорию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lang w:eastAsia="ru-RU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lang w:eastAsia="ru-RU"/>
              </w:rPr>
              <w:t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территорию ЗАТО Снежинск.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lang w:eastAsia="ru-RU"/>
              </w:rPr>
              <w:t>Разрешение на въезд в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lang w:eastAsia="ru-RU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>
          <w:trHeight w:val="399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Cs w:val="24"/>
          <w:lang w:eastAsia="ru-RU"/>
        </w:rPr>
      </w:r>
    </w:p>
    <w:tbl>
      <w:tblPr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64"/>
      </w:tblGrid>
      <w:tr>
        <w:trPr/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6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Cs w:val="24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9"/>
        <w:gridCol w:w="2410"/>
        <w:gridCol w:w="6237"/>
      </w:tblGrid>
      <w:tr>
        <w:trPr>
          <w:trHeight w:val="39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>
        <w:trPr>
          <w:trHeight w:val="215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>
        <w:trPr>
          <w:trHeight w:val="21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>
        <w:trPr>
          <w:trHeight w:val="21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>
        <w:trPr>
          <w:trHeight w:val="21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>
        <w:trPr>
          <w:trHeight w:val="21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Технические условия</w:t>
            </w:r>
          </w:p>
        </w:tc>
      </w:tr>
      <w:tr>
        <w:trPr>
          <w:trHeight w:val="39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ФГУП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</w:t>
            </w:r>
          </w:p>
        </w:tc>
      </w:tr>
    </w:tbl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20. ПЕРЕЧЕНЬ ПРИЛОЖЕНИЙ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9"/>
        <w:gridCol w:w="6975"/>
        <w:gridCol w:w="1672"/>
      </w:tblGrid>
      <w:tr>
        <w:trPr>
          <w:trHeight w:val="39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>
        <w:trPr>
          <w:trHeight w:val="39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>
      <w:pPr>
        <w:pStyle w:val="Normal"/>
        <w:tabs>
          <w:tab w:val="clear" w:pos="708"/>
          <w:tab w:val="left" w:pos="7596" w:leader="none"/>
        </w:tabs>
        <w:rPr/>
      </w:pPr>
      <w:r>
        <w:rPr/>
      </w:r>
    </w:p>
    <w:tbl>
      <w:tblPr>
        <w:tblStyle w:val="a5"/>
        <w:tblW w:w="96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935"/>
        <w:gridCol w:w="3403"/>
        <w:gridCol w:w="2268"/>
      </w:tblGrid>
      <w:tr>
        <w:trPr>
          <w:trHeight w:val="407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95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102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1418" w:right="991" w:gutter="0" w:header="0" w:top="1134" w:footer="567" w:bottom="1134"/>
          <w:pgNumType w:fmt="decimal"/>
          <w:formProt w:val="false"/>
          <w:titlePg/>
          <w:textDirection w:val="lrTb"/>
          <w:docGrid w:type="default" w:linePitch="360" w:charSpace="4096"/>
        </w:sectPr>
        <w:pStyle w:val="Normal"/>
        <w:tabs>
          <w:tab w:val="clear" w:pos="708"/>
          <w:tab w:val="left" w:pos="7596" w:leader="none"/>
        </w:tabs>
        <w:rPr/>
      </w:pPr>
      <w:r>
        <w:rPr/>
      </w:r>
    </w:p>
    <w:p>
      <w:pPr>
        <w:pStyle w:val="Normal"/>
        <w:spacing w:lineRule="auto" w:line="216" w:before="0" w:after="0"/>
        <w:ind w:firstLine="709"/>
        <w:jc w:val="right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Приложение № 1 </w:t>
      </w:r>
    </w:p>
    <w:p>
      <w:pPr>
        <w:pStyle w:val="Normal"/>
        <w:spacing w:lineRule="auto" w:line="216" w:before="0" w:after="0"/>
        <w:ind w:firstLine="709"/>
        <w:jc w:val="right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eastAsia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4"/>
          <w:szCs w:val="28"/>
          <w:lang w:eastAsia="ru-RU"/>
        </w:rPr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>
      <w:pPr>
        <w:pStyle w:val="Normal"/>
        <w:shd w:val="clear" w:color="auto" w:fill="FFFFFF"/>
        <w:spacing w:lineRule="exact" w:line="326" w:before="0" w:after="120"/>
        <w:ind w:right="-28" w:hanging="0"/>
        <w:jc w:val="center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</w:r>
    </w:p>
    <w:tbl>
      <w:tblPr>
        <w:tblW w:w="5000" w:type="pct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499"/>
        <w:gridCol w:w="2241"/>
        <w:gridCol w:w="1844"/>
        <w:gridCol w:w="923"/>
        <w:gridCol w:w="1053"/>
        <w:gridCol w:w="1581"/>
        <w:gridCol w:w="791"/>
        <w:gridCol w:w="1054"/>
        <w:gridCol w:w="527"/>
        <w:gridCol w:w="493"/>
        <w:gridCol w:w="983"/>
        <w:gridCol w:w="1422"/>
        <w:gridCol w:w="1158"/>
      </w:tblGrid>
      <w:tr>
        <w:trPr/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0" w:after="0"/>
              <w:ind w:left="-724" w:right="-15" w:firstLine="604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firstLine="13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Категория сейсмостойкости</w:t>
            </w: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left="-80" w:right="-43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left="-44" w:right="-159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Мате-риал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right="-78" w:firstLine="709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lЕд. изм.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left="-146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ind w:left="-149" w:right="-123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ind w:right="-122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ind w:right="-122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Условия хранения по</w:t>
              <w:br/>
              <w:t xml:space="preserve"> ГОСТ 15150</w:t>
            </w:r>
          </w:p>
        </w:tc>
      </w:tr>
      <w:tr>
        <w:trPr>
          <w:trHeight w:val="85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0" w:after="0"/>
              <w:ind w:left="-724" w:firstLine="709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firstLine="13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Смоточное устройство инерционное двухшпиндельное с вертикальным расположение шпинделей и регулировкой натяжения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ИСУ-400-2В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к-т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До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30.06.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Челябинская область,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>
      <w:pPr>
        <w:pStyle w:val="Normal"/>
        <w:tabs>
          <w:tab w:val="clear" w:pos="708"/>
          <w:tab w:val="left" w:pos="7596" w:leader="none"/>
        </w:tabs>
        <w:rPr/>
      </w:pPr>
      <w:r>
        <w:rPr/>
      </w:r>
    </w:p>
    <w:p>
      <w:pPr>
        <w:pStyle w:val="Normal"/>
        <w:spacing w:before="0" w:after="160"/>
        <w:rPr>
          <w:lang w:val="en-US"/>
        </w:rPr>
      </w:pPr>
      <w:r>
        <w:rPr>
          <w:lang w:val="en-US"/>
        </w:rPr>
      </w:r>
    </w:p>
    <w:sectPr>
      <w:footerReference w:type="default" r:id="rId3"/>
      <w:footerReference w:type="first" r:id="rId4"/>
      <w:type w:val="nextPage"/>
      <w:pgSz w:orient="landscape" w:w="16838" w:h="11906"/>
      <w:pgMar w:left="1134" w:right="1134" w:gutter="0" w:header="0" w:top="1276" w:footer="708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64148317"/>
    </w:sdtPr>
    <w:sdtContent>
      <w:p>
        <w:pPr>
          <w:pStyle w:val="Style23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  <w:p>
        <w:pPr>
          <w:pStyle w:val="Style23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13869828"/>
    </w:sdtPr>
    <w:sdtContent>
      <w:p>
        <w:pPr>
          <w:pStyle w:val="Style23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10</w:t>
        </w:r>
        <w:r>
          <w:rPr/>
          <w:fldChar w:fldCharType="end"/>
        </w:r>
      </w:p>
      <w:p>
        <w:pPr>
          <w:pStyle w:val="Style23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132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abstractNum w:abstractNumId="4">
    <w:lvl w:ilvl="0">
      <w:start w:val="9"/>
      <w:numFmt w:val="bullet"/>
      <w:lvlText w:val="-"/>
      <w:lvlJc w:val="left"/>
      <w:pPr>
        <w:tabs>
          <w:tab w:val="num" w:pos="0"/>
        </w:tabs>
        <w:ind w:left="1321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"/>
      <w:lvlJc w:val="left"/>
      <w:pPr>
        <w:tabs>
          <w:tab w:val="num" w:pos="0"/>
        </w:tabs>
        <w:ind w:left="132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1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4ff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rsid w:val="00154ff0"/>
    <w:rPr>
      <w:color w:val="0000FF"/>
      <w:u w:val="single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dd1c08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d1c08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99"/>
    <w:qFormat/>
    <w:rsid w:val="007c68ef"/>
    <w:pPr>
      <w:spacing w:before="0" w:after="160"/>
      <w:ind w:left="720" w:hanging="0"/>
      <w:contextualSpacing/>
    </w:pPr>
    <w:rPr/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dd1c0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Style15"/>
    <w:uiPriority w:val="99"/>
    <w:unhideWhenUsed/>
    <w:rsid w:val="00dd1c0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120E0-952F-4298-9168-F770E75C5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LibreOffice/7.5.6.2$Linux_X86_64 LibreOffice_project/50$Build-2</Application>
  <AppVersion>15.0000</AppVersion>
  <Pages>10</Pages>
  <Words>1751</Words>
  <Characters>12930</Characters>
  <CharactersWithSpaces>14450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2024-04-25T04:41:00Z</dcterms:created>
  <dc:creator>Зайцев Василий Владимирович</dc:creator>
  <dc:description/>
  <dc:language>ru-RU</dc:language>
  <cp:lastModifiedBy/>
  <dcterms:modified xsi:type="dcterms:W3CDTF">2024-07-02T13:02:02Z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