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67"/>
        <w:gridCol w:w="851"/>
        <w:gridCol w:w="11199"/>
      </w:tblGrid>
      <w:tr w:rsidR="007C7FCE" w:rsidRPr="00553B72" w:rsidTr="007C7F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CE" w:rsidRPr="00553B72" w:rsidRDefault="007C7FCE" w:rsidP="00AC1B83">
            <w:pPr>
              <w:rPr>
                <w:color w:val="000000"/>
              </w:rPr>
            </w:pPr>
            <w:r w:rsidRPr="00B81499">
              <w:rPr>
                <w:color w:val="000000"/>
              </w:rPr>
              <w:t xml:space="preserve">Станок намоточный ГК Мир намоточных станков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CE" w:rsidRPr="00553B72" w:rsidRDefault="007C7FCE" w:rsidP="00AC1B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CE" w:rsidRPr="00553B72" w:rsidRDefault="007C7FCE" w:rsidP="00AC1B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FCE" w:rsidRPr="00CC5109" w:rsidRDefault="007C7FCE" w:rsidP="00AC1B83">
            <w:pPr>
              <w:jc w:val="center"/>
              <w:rPr>
                <w:sz w:val="28"/>
                <w:szCs w:val="28"/>
              </w:rPr>
            </w:pPr>
            <w:r w:rsidRPr="00CC5109">
              <w:rPr>
                <w:sz w:val="28"/>
                <w:szCs w:val="28"/>
              </w:rPr>
              <w:t>Техническое задание на поставку</w:t>
            </w:r>
          </w:p>
          <w:p w:rsidR="007C7FCE" w:rsidRDefault="007C7FCE" w:rsidP="00AC1B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Станок намоточный ГК Мир намоточных станков РФ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Габариты станка в сборе (</w:t>
            </w:r>
            <w:proofErr w:type="spellStart"/>
            <w:r>
              <w:rPr>
                <w:sz w:val="28"/>
                <w:szCs w:val="28"/>
              </w:rPr>
              <w:t>ШхГхВ</w:t>
            </w:r>
            <w:proofErr w:type="spellEnd"/>
            <w:r>
              <w:rPr>
                <w:sz w:val="28"/>
                <w:szCs w:val="28"/>
              </w:rPr>
              <w:t>) не более 3500х2000х2000 мм.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Габариты транспортируемых частей (</w:t>
            </w:r>
            <w:proofErr w:type="spellStart"/>
            <w:r>
              <w:rPr>
                <w:sz w:val="28"/>
                <w:szCs w:val="28"/>
              </w:rPr>
              <w:t>ШхГхВ</w:t>
            </w:r>
            <w:proofErr w:type="spellEnd"/>
            <w:r>
              <w:rPr>
                <w:sz w:val="28"/>
                <w:szCs w:val="28"/>
              </w:rPr>
              <w:t>) не более 2500х1300х1500 мм.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Габариты наматываемых соленоидов:</w:t>
            </w:r>
          </w:p>
          <w:p w:rsidR="007C7FCE" w:rsidRDefault="007C7FCE" w:rsidP="009713BD">
            <w:pPr>
              <w:numPr>
                <w:ilvl w:val="0"/>
                <w:numId w:val="9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внутренний диаметр – от 10 мм;</w:t>
            </w:r>
          </w:p>
          <w:p w:rsidR="007C7FCE" w:rsidRDefault="007C7FCE" w:rsidP="009713BD">
            <w:pPr>
              <w:numPr>
                <w:ilvl w:val="0"/>
                <w:numId w:val="9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наружный диаметр – до 1000 мм;</w:t>
            </w:r>
          </w:p>
          <w:p w:rsidR="007C7FCE" w:rsidRDefault="007C7FCE" w:rsidP="009713BD">
            <w:pPr>
              <w:numPr>
                <w:ilvl w:val="0"/>
                <w:numId w:val="9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 – до 1000 мм.</w:t>
            </w:r>
          </w:p>
          <w:p w:rsidR="007C7FCE" w:rsidRPr="001B77AB" w:rsidRDefault="007C7FCE" w:rsidP="00AC1B83">
            <w:pPr>
              <w:jc w:val="both"/>
              <w:rPr>
                <w:sz w:val="28"/>
                <w:szCs w:val="28"/>
              </w:rPr>
            </w:pPr>
            <w:r w:rsidRPr="001B77AB">
              <w:rPr>
                <w:sz w:val="28"/>
                <w:szCs w:val="28"/>
              </w:rPr>
              <w:t xml:space="preserve">Габариты </w:t>
            </w:r>
            <w:r>
              <w:rPr>
                <w:sz w:val="28"/>
                <w:szCs w:val="28"/>
              </w:rPr>
              <w:t xml:space="preserve">отдающей </w:t>
            </w:r>
            <w:proofErr w:type="spellStart"/>
            <w:r>
              <w:rPr>
                <w:sz w:val="28"/>
                <w:szCs w:val="28"/>
              </w:rPr>
              <w:t>бабины</w:t>
            </w:r>
            <w:proofErr w:type="spellEnd"/>
            <w:r>
              <w:rPr>
                <w:sz w:val="28"/>
                <w:szCs w:val="28"/>
              </w:rPr>
              <w:t xml:space="preserve"> представлены на Рис. 1.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 w:eastAsia="en-US"/>
              </w:rPr>
              <w:lastRenderedPageBreak/>
              <w:drawing>
                <wp:inline distT="0" distB="0" distL="0" distR="0" wp14:anchorId="4AC47DCE" wp14:editId="6F1B298A">
                  <wp:extent cx="4548505" cy="4476750"/>
                  <wp:effectExtent l="0" t="0" r="0" b="0"/>
                  <wp:docPr id="1" name="Рисунок 1" descr="Бабина пластико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абина пластико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8505" cy="447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Рис. 1. Габариты отдающих </w:t>
            </w:r>
            <w:proofErr w:type="spellStart"/>
            <w:r>
              <w:rPr>
                <w:sz w:val="28"/>
                <w:szCs w:val="28"/>
              </w:rPr>
              <w:t>бабин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Намотка осуществляется проводом прямоугольного сечения из меди или </w:t>
            </w:r>
            <w:proofErr w:type="spellStart"/>
            <w:r>
              <w:rPr>
                <w:sz w:val="28"/>
                <w:szCs w:val="28"/>
              </w:rPr>
              <w:t>микрокомпозита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Cu</w:t>
            </w:r>
            <w:r w:rsidRPr="00C874A6">
              <w:rPr>
                <w:sz w:val="28"/>
                <w:szCs w:val="28"/>
              </w:rPr>
              <w:noBreakHyphen/>
            </w:r>
            <w:proofErr w:type="spellStart"/>
            <w:r>
              <w:rPr>
                <w:sz w:val="28"/>
                <w:szCs w:val="28"/>
                <w:lang w:val="en-US"/>
              </w:rPr>
              <w:t>Nb</w:t>
            </w:r>
            <w:proofErr w:type="spellEnd"/>
            <w:r>
              <w:rPr>
                <w:sz w:val="28"/>
                <w:szCs w:val="28"/>
              </w:rPr>
              <w:t xml:space="preserve">. Провод может быть как в заводской изоляции (тонкая лаковая), так и в дополнительной плетеной из </w:t>
            </w:r>
            <w:proofErr w:type="spellStart"/>
            <w:r>
              <w:rPr>
                <w:sz w:val="28"/>
                <w:szCs w:val="28"/>
              </w:rPr>
              <w:t>параарамидной</w:t>
            </w:r>
            <w:proofErr w:type="spellEnd"/>
            <w:r>
              <w:rPr>
                <w:sz w:val="28"/>
                <w:szCs w:val="28"/>
              </w:rPr>
              <w:t xml:space="preserve"> нити (толщина нитяной изоляции 0,3 ÷ 0,8 мм).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Параметры медного провода:</w:t>
            </w:r>
          </w:p>
          <w:p w:rsidR="007C7FCE" w:rsidRDefault="007C7FCE" w:rsidP="009713BD">
            <w:pPr>
              <w:numPr>
                <w:ilvl w:val="0"/>
                <w:numId w:val="10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сечение – от1х1 мм до 5х10 мм;</w:t>
            </w:r>
          </w:p>
          <w:p w:rsidR="007C7FCE" w:rsidRPr="0019239F" w:rsidRDefault="007C7FCE" w:rsidP="009713BD">
            <w:pPr>
              <w:numPr>
                <w:ilvl w:val="0"/>
                <w:numId w:val="10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толщина лаковой изоляции – от 0,05 мм до 0,2 мм;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Параметры </w:t>
            </w:r>
            <w:proofErr w:type="spellStart"/>
            <w:r>
              <w:rPr>
                <w:sz w:val="28"/>
                <w:szCs w:val="28"/>
              </w:rPr>
              <w:t>микрокомпозитного</w:t>
            </w:r>
            <w:proofErr w:type="spellEnd"/>
            <w:r>
              <w:rPr>
                <w:sz w:val="28"/>
                <w:szCs w:val="28"/>
              </w:rPr>
              <w:t xml:space="preserve"> провода </w:t>
            </w:r>
            <w:r>
              <w:rPr>
                <w:sz w:val="28"/>
                <w:szCs w:val="28"/>
                <w:lang w:val="en-US"/>
              </w:rPr>
              <w:t>Cu</w:t>
            </w:r>
            <w:r w:rsidRPr="00C874A6">
              <w:rPr>
                <w:sz w:val="28"/>
                <w:szCs w:val="28"/>
              </w:rPr>
              <w:noBreakHyphen/>
            </w:r>
            <w:proofErr w:type="spellStart"/>
            <w:r>
              <w:rPr>
                <w:sz w:val="28"/>
                <w:szCs w:val="28"/>
                <w:lang w:val="en-US"/>
              </w:rPr>
              <w:t>Nb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C7FCE" w:rsidRPr="00C874A6" w:rsidRDefault="007C7FCE" w:rsidP="009713BD">
            <w:pPr>
              <w:numPr>
                <w:ilvl w:val="0"/>
                <w:numId w:val="10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сечение – от 2х3 мм до 3х4 мм;</w:t>
            </w:r>
          </w:p>
          <w:p w:rsidR="007C7FCE" w:rsidRDefault="007C7FCE" w:rsidP="009713BD">
            <w:pPr>
              <w:numPr>
                <w:ilvl w:val="0"/>
                <w:numId w:val="10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EA6921">
              <w:rPr>
                <w:sz w:val="28"/>
                <w:szCs w:val="28"/>
              </w:rPr>
              <w:t>модуль упругости</w:t>
            </w:r>
            <w:r>
              <w:rPr>
                <w:sz w:val="28"/>
                <w:szCs w:val="28"/>
              </w:rPr>
              <w:t xml:space="preserve"> –</w:t>
            </w:r>
            <w:r w:rsidRPr="00EA69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80 ГПа до</w:t>
            </w:r>
            <w:r w:rsidRPr="00EA6921">
              <w:rPr>
                <w:sz w:val="28"/>
                <w:szCs w:val="28"/>
              </w:rPr>
              <w:t>110</w:t>
            </w:r>
            <w:r>
              <w:rPr>
                <w:sz w:val="28"/>
                <w:szCs w:val="28"/>
                <w:lang w:val="en-US"/>
              </w:rPr>
              <w:t> </w:t>
            </w:r>
            <w:r w:rsidRPr="00EA6921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П</w:t>
            </w:r>
            <w:r w:rsidRPr="00EA6921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;</w:t>
            </w:r>
          </w:p>
          <w:p w:rsidR="007C7FCE" w:rsidRDefault="007C7FCE" w:rsidP="009713BD">
            <w:pPr>
              <w:numPr>
                <w:ilvl w:val="0"/>
                <w:numId w:val="10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предел текучести – от 500 МПа до 1000 МПа;</w:t>
            </w:r>
          </w:p>
          <w:p w:rsidR="007C7FCE" w:rsidRDefault="007C7FCE" w:rsidP="009713BD">
            <w:pPr>
              <w:numPr>
                <w:ilvl w:val="0"/>
                <w:numId w:val="10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минимальный радиус изгиба – 10 мм.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Шаг намотки должен выбираться в пределах 1 ÷ 20 мм. Установка ступенчатая с шагом 0,1 мм. Скорость вращения шпинделя при намотке соленоида должна регулироваться в пределах от 1 до 10 об./мин. Необходимо обеспечивать постоянное натяжение провода при намотке. Натяжение должно настраиваться в пределах 5</w:t>
            </w:r>
            <w:r w:rsidRPr="00DC148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 ÷ 1000 H с шагом не более 5</w:t>
            </w:r>
            <w:r w:rsidRPr="00DC148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</w:rPr>
              <w:t xml:space="preserve"> для намотки катушек с наружным диаметром до 300 мм и в пределах 5</w:t>
            </w:r>
            <w:r w:rsidRPr="00DC148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 ÷ 500 H для намотки катушек с наружным диаметром до 1000 мм. Станок при остановке и отключении от сети должен сохранять натяжение провода.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Рис. 2 изображен эскиз одной из наматываемых катушек в разрезе. Как видно из рисунка, шаг намотки первых слоев может быть переменным. На каждый слой провода может наноситься бандаж из </w:t>
            </w:r>
            <w:proofErr w:type="spellStart"/>
            <w:r>
              <w:rPr>
                <w:sz w:val="28"/>
                <w:szCs w:val="28"/>
              </w:rPr>
              <w:t>параарамидной</w:t>
            </w:r>
            <w:proofErr w:type="spellEnd"/>
            <w:r>
              <w:rPr>
                <w:sz w:val="28"/>
                <w:szCs w:val="28"/>
              </w:rPr>
              <w:t xml:space="preserve"> нити</w:t>
            </w:r>
            <w:r w:rsidRPr="00C729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типа </w:t>
            </w:r>
            <w:proofErr w:type="spellStart"/>
            <w:r>
              <w:rPr>
                <w:sz w:val="28"/>
                <w:szCs w:val="28"/>
              </w:rPr>
              <w:t>Русар</w:t>
            </w:r>
            <w:proofErr w:type="spellEnd"/>
            <w:r>
              <w:rPr>
                <w:sz w:val="28"/>
                <w:szCs w:val="28"/>
              </w:rPr>
              <w:t xml:space="preserve"> (производитель </w:t>
            </w:r>
            <w:r w:rsidRPr="008C3478">
              <w:rPr>
                <w:sz w:val="28"/>
                <w:szCs w:val="28"/>
              </w:rPr>
              <w:t>ОАО «</w:t>
            </w:r>
            <w:proofErr w:type="spellStart"/>
            <w:r w:rsidRPr="008C3478">
              <w:rPr>
                <w:sz w:val="28"/>
                <w:szCs w:val="28"/>
              </w:rPr>
              <w:t>Каменскволокно</w:t>
            </w:r>
            <w:proofErr w:type="spellEnd"/>
            <w:r w:rsidRPr="008C3478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) с эпоксидным компаундом толщиной от 0,1 до 3 мм. Для нанесения этого бандажа требуется дополнительное устройство (возможно, планетарного типа). Процедура нанесения бандажа состоит в следующем. После намотки каждого слоя провода шпиндель останавливается и на получившийся слой провода наматывается нить </w:t>
            </w:r>
            <w:r w:rsidRPr="00C729E9">
              <w:rPr>
                <w:sz w:val="28"/>
                <w:szCs w:val="28"/>
              </w:rPr>
              <w:t>~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t>100÷1000 витков. При этом провод остается в натянутом состоянии. Далее наматывается следующий слой обмотки катушки и процедура повторяется.</w:t>
            </w:r>
            <w:r w:rsidRPr="00C729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Для уменьшения количества оборотов планетарного механизма возможна одновременная подача 5÷10 нитей. Нити должны наматываться с регулируемым натяжением от 0,5 </w:t>
            </w: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</w:rPr>
              <w:t xml:space="preserve"> до </w:t>
            </w:r>
            <w:r w:rsidRPr="00DC148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en-US"/>
              </w:rPr>
              <w:t> H</w:t>
            </w:r>
            <w:r>
              <w:rPr>
                <w:sz w:val="28"/>
                <w:szCs w:val="28"/>
              </w:rPr>
              <w:t>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Последний слой провода </w:t>
            </w:r>
            <w:proofErr w:type="spellStart"/>
            <w:r>
              <w:rPr>
                <w:sz w:val="28"/>
                <w:szCs w:val="28"/>
              </w:rPr>
              <w:t>бандажируется</w:t>
            </w:r>
            <w:proofErr w:type="spellEnd"/>
            <w:r>
              <w:rPr>
                <w:sz w:val="28"/>
                <w:szCs w:val="28"/>
              </w:rPr>
              <w:t xml:space="preserve"> толстым слоем нити с компаундом 10÷30 мм. Это приблизительно соответствует </w:t>
            </w:r>
            <w:r w:rsidRPr="007B5C27">
              <w:rPr>
                <w:sz w:val="28"/>
                <w:szCs w:val="28"/>
              </w:rPr>
              <w:t>10000÷</w:t>
            </w:r>
            <w:r>
              <w:rPr>
                <w:sz w:val="28"/>
                <w:szCs w:val="28"/>
              </w:rPr>
              <w:t>5</w:t>
            </w:r>
            <w:r w:rsidRPr="007B5C27">
              <w:rPr>
                <w:sz w:val="28"/>
                <w:szCs w:val="28"/>
              </w:rPr>
              <w:t xml:space="preserve">0000 </w:t>
            </w:r>
            <w:r>
              <w:rPr>
                <w:sz w:val="28"/>
                <w:szCs w:val="28"/>
              </w:rPr>
              <w:t>виткам нити. Нить должна сматываться с веретен типа ВПР-125 (Рис. 3).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 w:eastAsia="en-US"/>
              </w:rPr>
              <w:drawing>
                <wp:inline distT="0" distB="0" distL="0" distR="0" wp14:anchorId="00158DF2" wp14:editId="55F3254D">
                  <wp:extent cx="4043680" cy="3799840"/>
                  <wp:effectExtent l="0" t="0" r="0" b="0"/>
                  <wp:docPr id="2" name="Рисунок 2" descr="Сборка с размер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борка с размер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3680" cy="379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Рис. 2. Эскиз одной из наматываемых катушек.</w:t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 w:eastAsia="en-US"/>
              </w:rPr>
              <w:lastRenderedPageBreak/>
              <w:drawing>
                <wp:inline distT="0" distB="0" distL="0" distR="0" wp14:anchorId="6BEAD124" wp14:editId="2A663536">
                  <wp:extent cx="5807075" cy="2731135"/>
                  <wp:effectExtent l="0" t="0" r="0" b="0"/>
                  <wp:docPr id="3" name="Рисунок 3" descr="Веретено ВПР-125 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еретено ВПР-125 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7075" cy="273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7FCE" w:rsidRDefault="007C7FCE" w:rsidP="00AC1B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Рис. 3. Параметры веретена ВПР-125.</w:t>
            </w:r>
          </w:p>
          <w:p w:rsidR="007C7FCE" w:rsidRPr="00553B72" w:rsidRDefault="007C7FCE" w:rsidP="007C7FCE">
            <w:pPr>
              <w:spacing w:line="360" w:lineRule="auto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4D2D02" w:rsidRDefault="004D2D02"/>
    <w:sectPr w:rsidR="004D2D02" w:rsidSect="009713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232C8"/>
    <w:multiLevelType w:val="hybridMultilevel"/>
    <w:tmpl w:val="BB961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E112B"/>
    <w:multiLevelType w:val="hybridMultilevel"/>
    <w:tmpl w:val="C108E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385"/>
        </w:tabs>
        <w:ind w:left="7385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3BD"/>
    <w:rsid w:val="000E2486"/>
    <w:rsid w:val="003542BA"/>
    <w:rsid w:val="004D2D02"/>
    <w:rsid w:val="007C7FCE"/>
    <w:rsid w:val="009713BD"/>
    <w:rsid w:val="00BA058F"/>
    <w:rsid w:val="00C7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3BD"/>
    <w:rPr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 Знак"/>
    <w:basedOn w:val="a"/>
    <w:next w:val="a"/>
    <w:link w:val="10"/>
    <w:qFormat/>
    <w:rsid w:val="00C715B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C715B3"/>
    <w:pPr>
      <w:keepNext/>
      <w:tabs>
        <w:tab w:val="num" w:pos="1985"/>
      </w:tabs>
      <w:suppressAutoHyphens/>
      <w:ind w:firstLine="709"/>
      <w:outlineLvl w:val="1"/>
    </w:pPr>
    <w:rPr>
      <w:rFonts w:eastAsiaTheme="majorEastAsia" w:cstheme="majorBidi"/>
      <w:b/>
      <w:bCs/>
      <w:sz w:val="28"/>
      <w:szCs w:val="32"/>
      <w:lang w:val="x-none" w:eastAsia="x-none"/>
    </w:rPr>
  </w:style>
  <w:style w:type="paragraph" w:styleId="3">
    <w:name w:val="heading 3"/>
    <w:aliases w:val="H3"/>
    <w:basedOn w:val="a"/>
    <w:next w:val="a"/>
    <w:link w:val="30"/>
    <w:uiPriority w:val="9"/>
    <w:unhideWhenUsed/>
    <w:qFormat/>
    <w:rsid w:val="00C715B3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</w:rPr>
  </w:style>
  <w:style w:type="paragraph" w:styleId="4">
    <w:name w:val="heading 4"/>
    <w:aliases w:val="H4"/>
    <w:basedOn w:val="a"/>
    <w:next w:val="a"/>
    <w:link w:val="40"/>
    <w:semiHidden/>
    <w:unhideWhenUsed/>
    <w:qFormat/>
    <w:rsid w:val="00BA05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aliases w:val="H5"/>
    <w:basedOn w:val="a"/>
    <w:next w:val="a"/>
    <w:link w:val="50"/>
    <w:semiHidden/>
    <w:unhideWhenUsed/>
    <w:qFormat/>
    <w:rsid w:val="00BA058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BA058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BA05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BA058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BA058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rsid w:val="00BA058F"/>
    <w:pPr>
      <w:suppressAutoHyphens/>
      <w:ind w:left="720"/>
    </w:pPr>
    <w:rPr>
      <w:rFonts w:cs="Calibri"/>
      <w:lang w:eastAsia="ar-SA"/>
    </w:rPr>
  </w:style>
  <w:style w:type="character" w:customStyle="1" w:styleId="10">
    <w:name w:val="Заголовок 1 Знак"/>
    <w:aliases w:val="Заголовок 1 Знак Знак Знак Знак Знак Знак Знак Знак Знак Знак1,H1 Знак1,H1 Знак Знак Знак1"/>
    <w:link w:val="1"/>
    <w:rsid w:val="00C715B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,H1 Знак Знак Знак"/>
    <w:locked/>
    <w:rsid w:val="00BA058F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"/>
    <w:link w:val="2"/>
    <w:uiPriority w:val="9"/>
    <w:rsid w:val="00C715B3"/>
    <w:rPr>
      <w:rFonts w:eastAsiaTheme="majorEastAsia" w:cstheme="majorBidi"/>
      <w:b/>
      <w:bCs/>
      <w:sz w:val="28"/>
      <w:szCs w:val="32"/>
      <w:lang w:val="x-none" w:eastAsia="x-none"/>
    </w:rPr>
  </w:style>
  <w:style w:type="character" w:customStyle="1" w:styleId="30">
    <w:name w:val="Заголовок 3 Знак"/>
    <w:aliases w:val="H3 Знак"/>
    <w:link w:val="3"/>
    <w:uiPriority w:val="9"/>
    <w:rsid w:val="00C715B3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0"/>
    <w:link w:val="4"/>
    <w:semiHidden/>
    <w:rsid w:val="00BA058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aliases w:val="H5 Знак"/>
    <w:link w:val="5"/>
    <w:semiHidden/>
    <w:rsid w:val="00BA05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BA058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BA058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BA058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0"/>
    <w:link w:val="9"/>
    <w:semiHidden/>
    <w:rsid w:val="00BA05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2">
    <w:name w:val="toc 1"/>
    <w:basedOn w:val="a"/>
    <w:next w:val="a"/>
    <w:autoRedefine/>
    <w:semiHidden/>
    <w:rsid w:val="00BA058F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1">
    <w:name w:val="toc 2"/>
    <w:basedOn w:val="a"/>
    <w:next w:val="a"/>
    <w:autoRedefine/>
    <w:rsid w:val="00BA058F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1">
    <w:name w:val="toc 3"/>
    <w:basedOn w:val="a"/>
    <w:next w:val="a"/>
    <w:autoRedefine/>
    <w:semiHidden/>
    <w:rsid w:val="00BA058F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3">
    <w:name w:val="Title"/>
    <w:basedOn w:val="a"/>
    <w:next w:val="a"/>
    <w:link w:val="a4"/>
    <w:qFormat/>
    <w:rsid w:val="00C715B3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C715B3"/>
    <w:rPr>
      <w:rFonts w:ascii="Cambria" w:eastAsiaTheme="majorEastAsia" w:hAnsi="Cambria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qFormat/>
    <w:rsid w:val="00C715B3"/>
    <w:pPr>
      <w:spacing w:after="60"/>
      <w:jc w:val="center"/>
      <w:outlineLvl w:val="1"/>
    </w:pPr>
    <w:rPr>
      <w:rFonts w:ascii="Cambria" w:eastAsiaTheme="majorEastAsia" w:hAnsi="Cambria" w:cstheme="majorBidi"/>
    </w:rPr>
  </w:style>
  <w:style w:type="character" w:customStyle="1" w:styleId="a6">
    <w:name w:val="Подзаголовок Знак"/>
    <w:link w:val="a5"/>
    <w:rsid w:val="00C715B3"/>
    <w:rPr>
      <w:rFonts w:ascii="Cambria" w:eastAsiaTheme="majorEastAsia" w:hAnsi="Cambria" w:cstheme="majorBidi"/>
      <w:sz w:val="24"/>
      <w:szCs w:val="24"/>
    </w:rPr>
  </w:style>
  <w:style w:type="paragraph" w:styleId="a7">
    <w:name w:val="No Spacing"/>
    <w:uiPriority w:val="1"/>
    <w:qFormat/>
    <w:rsid w:val="00C715B3"/>
    <w:rPr>
      <w:rFonts w:ascii="Calibri" w:eastAsia="Calibri" w:hAnsi="Calibri"/>
      <w:sz w:val="22"/>
      <w:szCs w:val="22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C715B3"/>
    <w:pPr>
      <w:ind w:left="720"/>
      <w:contextualSpacing/>
    </w:pPr>
    <w:rPr>
      <w:rFonts w:eastAsia="Calibri"/>
      <w:sz w:val="28"/>
      <w:szCs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BA058F"/>
    <w:pPr>
      <w:keepLines/>
      <w:spacing w:before="480" w:after="0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</w:rPr>
  </w:style>
  <w:style w:type="paragraph" w:customStyle="1" w:styleId="ab">
    <w:name w:val="Текст документа"/>
    <w:basedOn w:val="a"/>
    <w:link w:val="ac"/>
    <w:qFormat/>
    <w:rsid w:val="00C715B3"/>
    <w:pPr>
      <w:ind w:firstLine="709"/>
      <w:jc w:val="both"/>
    </w:pPr>
    <w:rPr>
      <w:rFonts w:eastAsia="Calibri"/>
      <w:sz w:val="28"/>
    </w:rPr>
  </w:style>
  <w:style w:type="character" w:customStyle="1" w:styleId="ac">
    <w:name w:val="Текст документа Знак"/>
    <w:link w:val="ab"/>
    <w:rsid w:val="00C715B3"/>
    <w:rPr>
      <w:rFonts w:eastAsia="Calibri"/>
      <w:sz w:val="28"/>
      <w:szCs w:val="24"/>
    </w:rPr>
  </w:style>
  <w:style w:type="character" w:styleId="ad">
    <w:name w:val="Strong"/>
    <w:qFormat/>
    <w:rsid w:val="00C715B3"/>
    <w:rPr>
      <w:b/>
      <w:bCs/>
    </w:rPr>
  </w:style>
  <w:style w:type="character" w:styleId="ae">
    <w:name w:val="Emphasis"/>
    <w:qFormat/>
    <w:rsid w:val="00C715B3"/>
    <w:rPr>
      <w:i/>
      <w:iCs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8"/>
    <w:uiPriority w:val="34"/>
    <w:rsid w:val="00C715B3"/>
    <w:rPr>
      <w:rFonts w:eastAsia="Calibri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9713B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713B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3BD"/>
    <w:rPr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 Знак"/>
    <w:basedOn w:val="a"/>
    <w:next w:val="a"/>
    <w:link w:val="10"/>
    <w:qFormat/>
    <w:rsid w:val="00C715B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C715B3"/>
    <w:pPr>
      <w:keepNext/>
      <w:tabs>
        <w:tab w:val="num" w:pos="1985"/>
      </w:tabs>
      <w:suppressAutoHyphens/>
      <w:ind w:firstLine="709"/>
      <w:outlineLvl w:val="1"/>
    </w:pPr>
    <w:rPr>
      <w:rFonts w:eastAsiaTheme="majorEastAsia" w:cstheme="majorBidi"/>
      <w:b/>
      <w:bCs/>
      <w:sz w:val="28"/>
      <w:szCs w:val="32"/>
      <w:lang w:val="x-none" w:eastAsia="x-none"/>
    </w:rPr>
  </w:style>
  <w:style w:type="paragraph" w:styleId="3">
    <w:name w:val="heading 3"/>
    <w:aliases w:val="H3"/>
    <w:basedOn w:val="a"/>
    <w:next w:val="a"/>
    <w:link w:val="30"/>
    <w:uiPriority w:val="9"/>
    <w:unhideWhenUsed/>
    <w:qFormat/>
    <w:rsid w:val="00C715B3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</w:rPr>
  </w:style>
  <w:style w:type="paragraph" w:styleId="4">
    <w:name w:val="heading 4"/>
    <w:aliases w:val="H4"/>
    <w:basedOn w:val="a"/>
    <w:next w:val="a"/>
    <w:link w:val="40"/>
    <w:semiHidden/>
    <w:unhideWhenUsed/>
    <w:qFormat/>
    <w:rsid w:val="00BA05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aliases w:val="H5"/>
    <w:basedOn w:val="a"/>
    <w:next w:val="a"/>
    <w:link w:val="50"/>
    <w:semiHidden/>
    <w:unhideWhenUsed/>
    <w:qFormat/>
    <w:rsid w:val="00BA058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BA058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BA05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BA058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BA058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rsid w:val="00BA058F"/>
    <w:pPr>
      <w:suppressAutoHyphens/>
      <w:ind w:left="720"/>
    </w:pPr>
    <w:rPr>
      <w:rFonts w:cs="Calibri"/>
      <w:lang w:eastAsia="ar-SA"/>
    </w:rPr>
  </w:style>
  <w:style w:type="character" w:customStyle="1" w:styleId="10">
    <w:name w:val="Заголовок 1 Знак"/>
    <w:aliases w:val="Заголовок 1 Знак Знак Знак Знак Знак Знак Знак Знак Знак Знак1,H1 Знак1,H1 Знак Знак Знак1"/>
    <w:link w:val="1"/>
    <w:rsid w:val="00C715B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,H1 Знак Знак Знак"/>
    <w:locked/>
    <w:rsid w:val="00BA058F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"/>
    <w:link w:val="2"/>
    <w:uiPriority w:val="9"/>
    <w:rsid w:val="00C715B3"/>
    <w:rPr>
      <w:rFonts w:eastAsiaTheme="majorEastAsia" w:cstheme="majorBidi"/>
      <w:b/>
      <w:bCs/>
      <w:sz w:val="28"/>
      <w:szCs w:val="32"/>
      <w:lang w:val="x-none" w:eastAsia="x-none"/>
    </w:rPr>
  </w:style>
  <w:style w:type="character" w:customStyle="1" w:styleId="30">
    <w:name w:val="Заголовок 3 Знак"/>
    <w:aliases w:val="H3 Знак"/>
    <w:link w:val="3"/>
    <w:uiPriority w:val="9"/>
    <w:rsid w:val="00C715B3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0"/>
    <w:link w:val="4"/>
    <w:semiHidden/>
    <w:rsid w:val="00BA058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aliases w:val="H5 Знак"/>
    <w:link w:val="5"/>
    <w:semiHidden/>
    <w:rsid w:val="00BA05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BA058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BA058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BA058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0"/>
    <w:link w:val="9"/>
    <w:semiHidden/>
    <w:rsid w:val="00BA05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2">
    <w:name w:val="toc 1"/>
    <w:basedOn w:val="a"/>
    <w:next w:val="a"/>
    <w:autoRedefine/>
    <w:semiHidden/>
    <w:rsid w:val="00BA058F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1">
    <w:name w:val="toc 2"/>
    <w:basedOn w:val="a"/>
    <w:next w:val="a"/>
    <w:autoRedefine/>
    <w:rsid w:val="00BA058F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1">
    <w:name w:val="toc 3"/>
    <w:basedOn w:val="a"/>
    <w:next w:val="a"/>
    <w:autoRedefine/>
    <w:semiHidden/>
    <w:rsid w:val="00BA058F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3">
    <w:name w:val="Title"/>
    <w:basedOn w:val="a"/>
    <w:next w:val="a"/>
    <w:link w:val="a4"/>
    <w:qFormat/>
    <w:rsid w:val="00C715B3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C715B3"/>
    <w:rPr>
      <w:rFonts w:ascii="Cambria" w:eastAsiaTheme="majorEastAsia" w:hAnsi="Cambria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qFormat/>
    <w:rsid w:val="00C715B3"/>
    <w:pPr>
      <w:spacing w:after="60"/>
      <w:jc w:val="center"/>
      <w:outlineLvl w:val="1"/>
    </w:pPr>
    <w:rPr>
      <w:rFonts w:ascii="Cambria" w:eastAsiaTheme="majorEastAsia" w:hAnsi="Cambria" w:cstheme="majorBidi"/>
    </w:rPr>
  </w:style>
  <w:style w:type="character" w:customStyle="1" w:styleId="a6">
    <w:name w:val="Подзаголовок Знак"/>
    <w:link w:val="a5"/>
    <w:rsid w:val="00C715B3"/>
    <w:rPr>
      <w:rFonts w:ascii="Cambria" w:eastAsiaTheme="majorEastAsia" w:hAnsi="Cambria" w:cstheme="majorBidi"/>
      <w:sz w:val="24"/>
      <w:szCs w:val="24"/>
    </w:rPr>
  </w:style>
  <w:style w:type="paragraph" w:styleId="a7">
    <w:name w:val="No Spacing"/>
    <w:uiPriority w:val="1"/>
    <w:qFormat/>
    <w:rsid w:val="00C715B3"/>
    <w:rPr>
      <w:rFonts w:ascii="Calibri" w:eastAsia="Calibri" w:hAnsi="Calibri"/>
      <w:sz w:val="22"/>
      <w:szCs w:val="22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C715B3"/>
    <w:pPr>
      <w:ind w:left="720"/>
      <w:contextualSpacing/>
    </w:pPr>
    <w:rPr>
      <w:rFonts w:eastAsia="Calibri"/>
      <w:sz w:val="28"/>
      <w:szCs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BA058F"/>
    <w:pPr>
      <w:keepLines/>
      <w:spacing w:before="480" w:after="0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</w:rPr>
  </w:style>
  <w:style w:type="paragraph" w:customStyle="1" w:styleId="ab">
    <w:name w:val="Текст документа"/>
    <w:basedOn w:val="a"/>
    <w:link w:val="ac"/>
    <w:qFormat/>
    <w:rsid w:val="00C715B3"/>
    <w:pPr>
      <w:ind w:firstLine="709"/>
      <w:jc w:val="both"/>
    </w:pPr>
    <w:rPr>
      <w:rFonts w:eastAsia="Calibri"/>
      <w:sz w:val="28"/>
    </w:rPr>
  </w:style>
  <w:style w:type="character" w:customStyle="1" w:styleId="ac">
    <w:name w:val="Текст документа Знак"/>
    <w:link w:val="ab"/>
    <w:rsid w:val="00C715B3"/>
    <w:rPr>
      <w:rFonts w:eastAsia="Calibri"/>
      <w:sz w:val="28"/>
      <w:szCs w:val="24"/>
    </w:rPr>
  </w:style>
  <w:style w:type="character" w:styleId="ad">
    <w:name w:val="Strong"/>
    <w:qFormat/>
    <w:rsid w:val="00C715B3"/>
    <w:rPr>
      <w:b/>
      <w:bCs/>
    </w:rPr>
  </w:style>
  <w:style w:type="character" w:styleId="ae">
    <w:name w:val="Emphasis"/>
    <w:qFormat/>
    <w:rsid w:val="00C715B3"/>
    <w:rPr>
      <w:i/>
      <w:iCs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8"/>
    <w:uiPriority w:val="34"/>
    <w:rsid w:val="00C715B3"/>
    <w:rPr>
      <w:rFonts w:eastAsia="Calibri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9713B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713B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 Владимир Александрович</dc:creator>
  <cp:lastModifiedBy>Румянцев Константин</cp:lastModifiedBy>
  <cp:revision>4</cp:revision>
  <dcterms:created xsi:type="dcterms:W3CDTF">2023-06-06T12:49:00Z</dcterms:created>
  <dcterms:modified xsi:type="dcterms:W3CDTF">2023-06-07T09:37:00Z</dcterms:modified>
</cp:coreProperties>
</file>