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540"/>
        <w:jc w:val="right"/>
        <w:rPr>
          <w:spacing w:val="40"/>
        </w:rPr>
      </w:pPr>
      <w:r>
        <w:rPr>
          <w:rFonts w:hint="default"/>
          <w:sz w:val="20"/>
          <w:szCs w:val="20"/>
          <w:lang w:val="ru-RU"/>
        </w:rPr>
        <w:t xml:space="preserve"> </w:t>
      </w:r>
      <w:r>
        <w:rPr>
          <w:sz w:val="20"/>
          <w:szCs w:val="20"/>
        </w:rPr>
        <w:t xml:space="preserve"> </w:t>
      </w:r>
      <w:r>
        <w:rPr>
          <w:spacing w:val="40"/>
        </w:rPr>
        <w:t>Общество с ограниченной ответственностью</w:t>
      </w:r>
    </w:p>
    <w:p>
      <w:pPr>
        <w:ind w:firstLine="539"/>
        <w:jc w:val="right"/>
        <w:outlineLvl w:val="0"/>
        <w:rPr>
          <w:b/>
          <w:spacing w:val="120"/>
          <w:sz w:val="32"/>
          <w:szCs w:val="32"/>
        </w:rPr>
      </w:pPr>
      <w:r>
        <w:rPr>
          <w:b/>
          <w:spacing w:val="120"/>
          <w:sz w:val="32"/>
          <w:szCs w:val="32"/>
        </w:rPr>
        <w:t>«Кабемалекс»</w:t>
      </w:r>
    </w:p>
    <w:p>
      <w:pPr>
        <w:ind w:left="1416"/>
        <w:jc w:val="right"/>
        <w:rPr>
          <w:spacing w:val="56"/>
          <w:sz w:val="20"/>
          <w:szCs w:val="20"/>
        </w:rPr>
      </w:pPr>
      <w:r>
        <w:rPr>
          <w:spacing w:val="56"/>
          <w:sz w:val="20"/>
          <w:szCs w:val="20"/>
        </w:rPr>
        <w:t>ИНН 7720671510</w:t>
      </w:r>
    </w:p>
    <w:p>
      <w:pPr>
        <w:ind w:left="1416"/>
        <w:jc w:val="right"/>
        <w:rPr>
          <w:spacing w:val="56"/>
          <w:sz w:val="20"/>
          <w:szCs w:val="20"/>
        </w:rPr>
      </w:pPr>
      <w:r>
        <w:rPr>
          <w:spacing w:val="56"/>
          <w:sz w:val="16"/>
          <w:szCs w:val="16"/>
        </w:rPr>
        <w:t xml:space="preserve">  </w:t>
      </w:r>
      <w:r>
        <w:rPr>
          <w:spacing w:val="56"/>
          <w:sz w:val="20"/>
          <w:szCs w:val="20"/>
        </w:rPr>
        <w:t>Россия, 111141, г. Москва</w:t>
      </w:r>
    </w:p>
    <w:p>
      <w:pPr>
        <w:ind w:left="1416"/>
        <w:jc w:val="right"/>
        <w:rPr>
          <w:spacing w:val="56"/>
          <w:sz w:val="20"/>
          <w:szCs w:val="20"/>
        </w:rPr>
      </w:pPr>
      <w:r>
        <w:rPr>
          <w:spacing w:val="56"/>
          <w:sz w:val="20"/>
          <w:szCs w:val="20"/>
        </w:rPr>
        <w:t>2-й пр. Перова поля, д.5</w:t>
      </w:r>
    </w:p>
    <w:p>
      <w:pPr>
        <w:ind w:left="1416"/>
        <w:jc w:val="right"/>
        <w:rPr>
          <w:spacing w:val="56"/>
          <w:sz w:val="20"/>
          <w:szCs w:val="20"/>
        </w:rPr>
      </w:pPr>
      <w:r>
        <w:rPr>
          <w:spacing w:val="56"/>
          <w:sz w:val="20"/>
          <w:szCs w:val="20"/>
        </w:rPr>
        <w:t>телефон+7 (495) 943-85-13</w:t>
      </w:r>
    </w:p>
    <w:p>
      <w:pPr>
        <w:ind w:left="1416"/>
        <w:jc w:val="right"/>
        <w:rPr>
          <w:spacing w:val="56"/>
          <w:sz w:val="20"/>
          <w:szCs w:val="20"/>
        </w:rPr>
      </w:pPr>
      <w:r>
        <w:fldChar w:fldCharType="begin"/>
      </w:r>
      <w:r>
        <w:instrText xml:space="preserve"> HYPERLINK "mailto:info@kabemaleks.ru" </w:instrText>
      </w:r>
      <w:r>
        <w:fldChar w:fldCharType="separate"/>
      </w:r>
      <w:r>
        <w:rPr>
          <w:rStyle w:val="5"/>
          <w:spacing w:val="56"/>
          <w:sz w:val="20"/>
          <w:szCs w:val="20"/>
          <w:lang w:val="en-US"/>
        </w:rPr>
        <w:t>info</w:t>
      </w:r>
      <w:r>
        <w:rPr>
          <w:rStyle w:val="5"/>
          <w:spacing w:val="56"/>
          <w:sz w:val="20"/>
          <w:szCs w:val="20"/>
        </w:rPr>
        <w:t>@</w:t>
      </w:r>
      <w:r>
        <w:rPr>
          <w:rStyle w:val="5"/>
          <w:spacing w:val="56"/>
          <w:sz w:val="20"/>
          <w:szCs w:val="20"/>
          <w:lang w:val="en-US"/>
        </w:rPr>
        <w:t>kabemaleks</w:t>
      </w:r>
      <w:r>
        <w:rPr>
          <w:rStyle w:val="5"/>
          <w:spacing w:val="56"/>
          <w:sz w:val="20"/>
          <w:szCs w:val="20"/>
        </w:rPr>
        <w:t>.</w:t>
      </w:r>
      <w:r>
        <w:rPr>
          <w:rStyle w:val="5"/>
          <w:spacing w:val="56"/>
          <w:sz w:val="20"/>
          <w:szCs w:val="20"/>
          <w:lang w:val="en-US"/>
        </w:rPr>
        <w:t>ru</w:t>
      </w:r>
      <w:r>
        <w:rPr>
          <w:rStyle w:val="5"/>
          <w:spacing w:val="56"/>
          <w:sz w:val="20"/>
          <w:szCs w:val="20"/>
          <w:lang w:val="en-US"/>
        </w:rPr>
        <w:fldChar w:fldCharType="end"/>
      </w:r>
    </w:p>
    <w:tbl>
      <w:tblPr>
        <w:tblStyle w:val="4"/>
        <w:tblW w:w="10260" w:type="dxa"/>
        <w:tblInd w:w="-72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0"/>
        <w:gridCol w:w="1440"/>
        <w:gridCol w:w="540"/>
        <w:gridCol w:w="1800"/>
        <w:gridCol w:w="5400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</w:trPr>
        <w:tc>
          <w:tcPr>
            <w:tcW w:w="2520" w:type="dxa"/>
            <w:gridSpan w:val="2"/>
            <w:tcBorders>
              <w:top w:val="thinThickSmallGap" w:color="auto" w:sz="12" w:space="0"/>
              <w:left w:val="nil"/>
              <w:bottom w:val="single" w:color="auto" w:sz="8" w:space="0"/>
              <w:right w:val="nil"/>
            </w:tcBorders>
            <w:vAlign w:val="bottom"/>
          </w:tcPr>
          <w:p>
            <w:pPr>
              <w:spacing w:line="240" w:lineRule="atLeast"/>
              <w:jc w:val="both"/>
            </w:pPr>
            <w:r>
              <w:rPr>
                <w:rFonts w:hint="default"/>
                <w:lang w:val="ru-RU"/>
              </w:rPr>
              <w:t>2</w:t>
            </w:r>
            <w:r>
              <w:rPr>
                <w:rFonts w:hint="default"/>
                <w:lang w:val="en-US"/>
              </w:rPr>
              <w:t xml:space="preserve">6 </w:t>
            </w:r>
            <w:r>
              <w:rPr>
                <w:rFonts w:hint="default"/>
                <w:lang w:val="ru-RU"/>
              </w:rPr>
              <w:t>апреля</w:t>
            </w:r>
            <w:bookmarkStart w:id="0" w:name="_GoBack"/>
            <w:bookmarkEnd w:id="0"/>
            <w:r>
              <w:rPr>
                <w:rFonts w:hint="default"/>
                <w:lang w:val="ru-RU"/>
              </w:rPr>
              <w:t xml:space="preserve"> 2021</w:t>
            </w:r>
            <w:r>
              <w:t xml:space="preserve"> г</w:t>
            </w:r>
          </w:p>
        </w:tc>
        <w:tc>
          <w:tcPr>
            <w:tcW w:w="540" w:type="dxa"/>
            <w:tcBorders>
              <w:top w:val="thinThickSmallGap" w:color="auto" w:sz="12" w:space="0"/>
              <w:left w:val="nil"/>
              <w:bottom w:val="nil"/>
              <w:right w:val="nil"/>
            </w:tcBorders>
            <w:vAlign w:val="bottom"/>
          </w:tcPr>
          <w:p>
            <w:pPr>
              <w:spacing w:line="240" w:lineRule="atLeast"/>
              <w:jc w:val="both"/>
            </w:pPr>
            <w:r>
              <w:t>№</w:t>
            </w:r>
          </w:p>
        </w:tc>
        <w:tc>
          <w:tcPr>
            <w:tcW w:w="1800" w:type="dxa"/>
            <w:tcBorders>
              <w:top w:val="thinThickSmallGap" w:color="auto" w:sz="12" w:space="0"/>
              <w:left w:val="nil"/>
              <w:bottom w:val="single" w:color="auto" w:sz="8" w:space="0"/>
              <w:right w:val="nil"/>
            </w:tcBorders>
            <w:vAlign w:val="bottom"/>
          </w:tcPr>
          <w:p>
            <w:pPr>
              <w:spacing w:line="240" w:lineRule="atLeast"/>
              <w:jc w:val="both"/>
              <w:rPr>
                <w:b/>
              </w:rPr>
            </w:pPr>
          </w:p>
        </w:tc>
        <w:tc>
          <w:tcPr>
            <w:tcW w:w="5400" w:type="dxa"/>
            <w:vMerge w:val="restart"/>
            <w:tcBorders>
              <w:top w:val="thinThickSmallGap" w:color="auto" w:sz="12" w:space="0"/>
              <w:left w:val="nil"/>
              <w:right w:val="nil"/>
            </w:tcBorders>
          </w:tcPr>
          <w:p>
            <w:pPr>
              <w:wordWrap w:val="0"/>
              <w:ind w:left="675"/>
              <w:jc w:val="right"/>
              <w:rPr>
                <w:rFonts w:hint="default"/>
                <w:spacing w:val="56"/>
                <w:lang w:val="ru-RU"/>
              </w:rPr>
            </w:pPr>
            <w:r>
              <w:rPr>
                <w:spacing w:val="56"/>
                <w:lang w:val="ru-RU"/>
              </w:rPr>
              <w:t>В</w:t>
            </w:r>
            <w:r>
              <w:rPr>
                <w:rFonts w:hint="default"/>
                <w:spacing w:val="56"/>
                <w:lang w:val="ru-RU"/>
              </w:rPr>
              <w:t xml:space="preserve"> группу компаний </w:t>
            </w:r>
          </w:p>
          <w:p>
            <w:pPr>
              <w:wordWrap w:val="0"/>
              <w:ind w:left="675"/>
              <w:jc w:val="right"/>
              <w:rPr>
                <w:rFonts w:hint="default"/>
                <w:spacing w:val="56"/>
                <w:lang w:val="ru-RU"/>
              </w:rPr>
            </w:pPr>
            <w:r>
              <w:rPr>
                <w:rFonts w:hint="default"/>
                <w:spacing w:val="56"/>
                <w:lang w:val="ru-RU"/>
              </w:rPr>
              <w:t>«Мир намоточных станков»</w:t>
            </w:r>
          </w:p>
          <w:p>
            <w:pPr>
              <w:wordWrap w:val="0"/>
              <w:ind w:left="675"/>
              <w:jc w:val="right"/>
              <w:rPr>
                <w:rFonts w:hint="default"/>
                <w:spacing w:val="56"/>
                <w:lang w:val="ru-RU"/>
              </w:rPr>
            </w:pPr>
            <w:r>
              <w:rPr>
                <w:rFonts w:hint="default"/>
                <w:spacing w:val="56"/>
                <w:lang w:val="ru-RU"/>
              </w:rPr>
              <w:t>84955047283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080" w:type="dxa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</w:tcPr>
          <w:p>
            <w:pPr>
              <w:spacing w:line="240" w:lineRule="atLeast"/>
              <w:jc w:val="both"/>
            </w:pPr>
            <w:r>
              <w:t>на №</w:t>
            </w:r>
          </w:p>
        </w:tc>
        <w:tc>
          <w:tcPr>
            <w:tcW w:w="1440" w:type="dxa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</w:tcPr>
          <w:p>
            <w:pPr>
              <w:spacing w:line="240" w:lineRule="atLeast"/>
              <w:jc w:val="both"/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spacing w:line="240" w:lineRule="atLeast"/>
              <w:jc w:val="both"/>
            </w:pPr>
            <w:r>
              <w:t>от</w:t>
            </w:r>
          </w:p>
        </w:tc>
        <w:tc>
          <w:tcPr>
            <w:tcW w:w="1800" w:type="dxa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</w:tcPr>
          <w:p>
            <w:pPr>
              <w:spacing w:line="240" w:lineRule="atLeast"/>
              <w:jc w:val="both"/>
            </w:pPr>
          </w:p>
        </w:tc>
        <w:tc>
          <w:tcPr>
            <w:tcW w:w="5400" w:type="dxa"/>
            <w:vMerge w:val="continue"/>
            <w:tcBorders>
              <w:left w:val="nil"/>
              <w:right w:val="nil"/>
            </w:tcBorders>
          </w:tcPr>
          <w:p/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1" w:hRule="atLeast"/>
        </w:trPr>
        <w:tc>
          <w:tcPr>
            <w:tcW w:w="486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>
            <w:pPr>
              <w:rPr>
                <w:rFonts w:hint="default"/>
                <w:sz w:val="28"/>
                <w:szCs w:val="28"/>
                <w:lang w:val="ru-RU"/>
              </w:rPr>
            </w:pPr>
            <w:r>
              <w:rPr>
                <w:rFonts w:hint="default"/>
                <w:sz w:val="28"/>
                <w:szCs w:val="28"/>
                <w:lang w:val="ru-RU"/>
              </w:rPr>
              <w:t>Станок намотки</w:t>
            </w:r>
          </w:p>
        </w:tc>
        <w:tc>
          <w:tcPr>
            <w:tcW w:w="5400" w:type="dxa"/>
            <w:vMerge w:val="continue"/>
            <w:tcBorders>
              <w:left w:val="nil"/>
              <w:bottom w:val="nil"/>
              <w:right w:val="nil"/>
            </w:tcBorders>
          </w:tcPr>
          <w:p>
            <w:pPr>
              <w:rPr>
                <w:sz w:val="28"/>
                <w:szCs w:val="28"/>
              </w:rPr>
            </w:pPr>
          </w:p>
        </w:tc>
      </w:tr>
    </w:tbl>
    <w:p>
      <w:pPr>
        <w:spacing w:after="0" w:line="360" w:lineRule="auto"/>
        <w:jc w:val="center"/>
        <w:rPr>
          <w:rFonts w:hint="default"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Добрый</w:t>
      </w:r>
      <w:r>
        <w:rPr>
          <w:rFonts w:hint="default" w:cs="Times New Roman"/>
          <w:sz w:val="28"/>
          <w:szCs w:val="28"/>
          <w:lang w:val="ru-RU"/>
        </w:rPr>
        <w:t xml:space="preserve"> день!</w:t>
      </w:r>
    </w:p>
    <w:p>
      <w:pPr>
        <w:spacing w:after="0" w:line="36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cs="Times New Roman"/>
          <w:sz w:val="28"/>
          <w:szCs w:val="28"/>
          <w:lang w:val="ru-RU"/>
        </w:rPr>
        <w:t>Примите дополнения в описание станка для намотки спирального кабеля</w:t>
      </w:r>
    </w:p>
    <w:p>
      <w:pPr>
        <w:keepNext w:val="0"/>
        <w:keepLines w:val="0"/>
        <w:widowControl/>
        <w:suppressLineNumbers w:val="0"/>
        <w:jc w:val="both"/>
        <w:rPr>
          <w:rFonts w:hint="default"/>
          <w:lang w:val="ru-RU"/>
        </w:rPr>
      </w:pPr>
      <w:r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en-US" w:eastAsia="zh-CN" w:bidi="ar"/>
        </w:rPr>
        <w:t xml:space="preserve">Назначение станка: рядовая намотка кабеля на </w:t>
      </w:r>
      <w:r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ru-RU" w:eastAsia="zh-CN" w:bidi="ar"/>
        </w:rPr>
        <w:t>оправку</w:t>
      </w:r>
    </w:p>
    <w:p>
      <w:pPr>
        <w:keepNext w:val="0"/>
        <w:keepLines w:val="0"/>
        <w:widowControl/>
        <w:suppressLineNumbers w:val="0"/>
        <w:jc w:val="both"/>
      </w:pPr>
      <w:r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en-US" w:eastAsia="zh-CN" w:bidi="ar"/>
        </w:rPr>
        <w:t xml:space="preserve">Принцип работы станка: для получения кабеля с заданным осевым </w:t>
      </w:r>
      <w:r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ru-RU" w:eastAsia="zh-CN" w:bidi="ar"/>
        </w:rPr>
        <w:t>натяжением</w:t>
      </w:r>
      <w:r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en-US" w:eastAsia="zh-CN" w:bidi="ar"/>
        </w:rPr>
        <w:t xml:space="preserve"> используется инерционное смоточное устройство ИСУ</w:t>
      </w:r>
      <w:r>
        <w:rPr>
          <w:rFonts w:ascii="TimesNewRomanPSMT" w:hAnsi="TimesNewRomanPSMT" w:eastAsia="TimesNewRomanPSMT" w:cs="TimesNewRomanPSMT"/>
          <w:color w:val="000000"/>
          <w:kern w:val="0"/>
          <w:sz w:val="24"/>
          <w:szCs w:val="24"/>
          <w:lang w:val="en-US" w:eastAsia="zh-CN" w:bidi="ar"/>
        </w:rPr>
        <w:t>-</w:t>
      </w:r>
      <w:r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en-US" w:eastAsia="zh-CN" w:bidi="ar"/>
        </w:rPr>
        <w:t>400, установленное на горизонтальную поворотную платформу. Скорость вращения смоточного устройства на платформе является определяющей для остальных исполнительных узлов станка (привод</w:t>
      </w:r>
      <w:r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ru-RU" w:eastAsia="zh-CN" w:bidi="ar"/>
        </w:rPr>
        <w:t>а</w:t>
      </w:r>
      <w:r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en-US" w:eastAsia="zh-CN" w:bidi="ar"/>
        </w:rPr>
        <w:t xml:space="preserve"> намотки и привода раскладки). </w:t>
      </w:r>
    </w:p>
    <w:p>
      <w:pPr>
        <w:keepNext w:val="0"/>
        <w:keepLines w:val="0"/>
        <w:widowControl/>
        <w:suppressLineNumbers w:val="0"/>
        <w:jc w:val="both"/>
      </w:pPr>
      <w:r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en-US" w:eastAsia="zh-CN" w:bidi="ar"/>
        </w:rPr>
        <w:t xml:space="preserve">Состав станка: </w:t>
      </w:r>
    </w:p>
    <w:p>
      <w:pPr>
        <w:keepNext w:val="0"/>
        <w:keepLines w:val="0"/>
        <w:widowControl/>
        <w:suppressLineNumbers w:val="0"/>
        <w:jc w:val="both"/>
      </w:pPr>
      <w:r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en-US" w:eastAsia="zh-CN" w:bidi="ar"/>
        </w:rPr>
        <w:t xml:space="preserve">1. Механизм намотки. Приводом механизма намотки является </w:t>
      </w:r>
      <w:r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ru-RU" w:eastAsia="zh-CN" w:bidi="ar"/>
        </w:rPr>
        <w:t xml:space="preserve">асинхронный </w:t>
      </w:r>
      <w:r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en-US" w:eastAsia="zh-CN" w:bidi="ar"/>
        </w:rPr>
        <w:t>двигатель</w:t>
      </w:r>
      <w:r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ru-RU" w:eastAsia="zh-CN" w:bidi="ar"/>
        </w:rPr>
        <w:t>,</w:t>
      </w:r>
      <w:r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en-US" w:eastAsia="zh-CN" w:bidi="ar"/>
        </w:rPr>
        <w:t xml:space="preserve"> </w:t>
      </w:r>
      <w:r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ru-RU" w:eastAsia="zh-CN" w:bidi="ar"/>
        </w:rPr>
        <w:t xml:space="preserve">понижающий </w:t>
      </w:r>
      <w:r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en-US" w:eastAsia="zh-CN" w:bidi="ar"/>
        </w:rPr>
        <w:t xml:space="preserve"> </w:t>
      </w:r>
      <w:r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ru-RU" w:eastAsia="zh-CN" w:bidi="ar"/>
        </w:rPr>
        <w:t>пониж</w:t>
      </w:r>
      <w:r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en-US" w:eastAsia="zh-CN" w:bidi="ar"/>
        </w:rPr>
        <w:t>ающий редуктор</w:t>
      </w:r>
      <w:r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ru-RU" w:eastAsia="zh-CN" w:bidi="ar"/>
        </w:rPr>
        <w:t xml:space="preserve"> </w:t>
      </w:r>
      <w:r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en-US" w:eastAsia="zh-CN" w:bidi="ar"/>
        </w:rPr>
        <w:t xml:space="preserve">позволяет обеспечить </w:t>
      </w:r>
      <w:r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ru-RU" w:eastAsia="zh-CN" w:bidi="ar"/>
        </w:rPr>
        <w:t>не</w:t>
      </w:r>
      <w:r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en-US" w:eastAsia="zh-CN" w:bidi="ar"/>
        </w:rPr>
        <w:t xml:space="preserve">высокую скорость вращения прутка и согласование вращения прутка и смоточного устройства. Для закрепления прутка используется токарный патрон. </w:t>
      </w:r>
    </w:p>
    <w:p>
      <w:pPr>
        <w:keepNext w:val="0"/>
        <w:keepLines w:val="0"/>
        <w:widowControl/>
        <w:suppressLineNumbers w:val="0"/>
        <w:jc w:val="both"/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en-US" w:eastAsia="zh-CN" w:bidi="ar"/>
        </w:rPr>
        <w:t xml:space="preserve">2. Задняя бабка. Задняя бабка выполняется </w:t>
      </w:r>
      <w:r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ru-RU" w:eastAsia="zh-CN" w:bidi="ar"/>
        </w:rPr>
        <w:t>без</w:t>
      </w:r>
      <w:r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en-US" w:eastAsia="zh-CN" w:bidi="ar"/>
        </w:rPr>
        <w:t>приводной</w:t>
      </w:r>
      <w:r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ru-RU" w:eastAsia="zh-CN" w:bidi="ar"/>
        </w:rPr>
        <w:t>.</w:t>
      </w:r>
      <w:r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en-US" w:eastAsia="zh-CN" w:bidi="ar"/>
        </w:rPr>
        <w:t xml:space="preserve"> </w:t>
      </w:r>
      <w:r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ru-RU" w:eastAsia="zh-CN" w:bidi="ar"/>
        </w:rPr>
        <w:t xml:space="preserve">Расположение - произвольное относительно патрона - позволяет наматывать кабель на оправку - стержни произвольной длины -  </w:t>
      </w:r>
      <w:r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ru-RU" w:eastAsia="zh-CN" w:bidi="ar"/>
        </w:rPr>
        <w:t>от 500 мм до 3000 мм</w:t>
      </w:r>
      <w:r>
        <w:rPr>
          <w:rFonts w:hint="default" w:eastAsia="SimSun" w:cs="Times New Roman"/>
          <w:color w:val="000000"/>
          <w:kern w:val="0"/>
          <w:sz w:val="24"/>
          <w:szCs w:val="24"/>
          <w:lang w:val="ru-RU" w:eastAsia="zh-CN" w:bidi="ar"/>
        </w:rPr>
        <w:t xml:space="preserve">, </w:t>
      </w:r>
      <w:r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ru-RU" w:eastAsia="zh-CN" w:bidi="ar"/>
        </w:rPr>
        <w:t>и диаметра от 4 мм до 80 мм</w:t>
      </w:r>
      <w:r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en-US" w:eastAsia="zh-CN" w:bidi="ar"/>
        </w:rPr>
        <w:t xml:space="preserve">. </w:t>
      </w:r>
    </w:p>
    <w:tbl>
      <w:tblPr>
        <w:tblStyle w:val="1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7"/>
        <w:gridCol w:w="1374"/>
        <w:gridCol w:w="808"/>
        <w:gridCol w:w="792"/>
        <w:gridCol w:w="792"/>
        <w:gridCol w:w="1139"/>
        <w:gridCol w:w="815"/>
        <w:gridCol w:w="875"/>
        <w:gridCol w:w="775"/>
        <w:gridCol w:w="90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1537" w:type="dxa"/>
          </w:tcPr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vertAlign w:val="baseline"/>
                <w:lang w:val="ru-RU" w:eastAsia="zh-CN" w:bidi="ar"/>
              </w:rPr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0"/>
                <w:szCs w:val="20"/>
                <w:vertAlign w:val="baseline"/>
                <w:lang w:val="ru-RU" w:eastAsia="zh-CN" w:bidi="ar"/>
              </w:rPr>
              <w:t>Диаметр оправки,</w:t>
            </w:r>
            <w:r>
              <w:rPr>
                <w:rFonts w:hint="default" w:eastAsia="SimSun" w:cs="Times New Roman"/>
                <w:color w:val="000000"/>
                <w:kern w:val="0"/>
                <w:sz w:val="20"/>
                <w:szCs w:val="20"/>
                <w:vertAlign w:val="baseline"/>
                <w:lang w:val="ru-RU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0"/>
                <w:szCs w:val="20"/>
                <w:vertAlign w:val="baseline"/>
                <w:lang w:val="ru-RU" w:eastAsia="zh-CN" w:bidi="ar"/>
              </w:rPr>
              <w:t>мм</w:t>
            </w:r>
          </w:p>
        </w:tc>
        <w:tc>
          <w:tcPr>
            <w:tcW w:w="1374" w:type="dxa"/>
          </w:tcPr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vertAlign w:val="baseline"/>
                <w:lang w:val="ru-RU" w:eastAsia="zh-CN" w:bidi="ar"/>
              </w:rPr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vertAlign w:val="baseline"/>
                <w:lang w:val="ru-RU" w:eastAsia="zh-CN" w:bidi="ar"/>
              </w:rPr>
              <w:t>4</w:t>
            </w:r>
          </w:p>
        </w:tc>
        <w:tc>
          <w:tcPr>
            <w:tcW w:w="808" w:type="dxa"/>
          </w:tcPr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vertAlign w:val="baseline"/>
                <w:lang w:val="ru-RU" w:eastAsia="zh-CN" w:bidi="ar"/>
              </w:rPr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vertAlign w:val="baseline"/>
                <w:lang w:val="ru-RU" w:eastAsia="zh-CN" w:bidi="ar"/>
              </w:rPr>
              <w:t>5</w:t>
            </w:r>
          </w:p>
        </w:tc>
        <w:tc>
          <w:tcPr>
            <w:tcW w:w="792" w:type="dxa"/>
          </w:tcPr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vertAlign w:val="baseline"/>
                <w:lang w:val="ru-RU" w:eastAsia="zh-CN" w:bidi="ar"/>
              </w:rPr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vertAlign w:val="baseline"/>
                <w:lang w:val="ru-RU" w:eastAsia="zh-CN" w:bidi="ar"/>
              </w:rPr>
              <w:t>6</w:t>
            </w:r>
          </w:p>
        </w:tc>
        <w:tc>
          <w:tcPr>
            <w:tcW w:w="792" w:type="dxa"/>
          </w:tcPr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vertAlign w:val="baseline"/>
                <w:lang w:val="ru-RU" w:eastAsia="zh-CN" w:bidi="ar"/>
              </w:rPr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vertAlign w:val="baseline"/>
                <w:lang w:val="ru-RU" w:eastAsia="zh-CN" w:bidi="ar"/>
              </w:rPr>
              <w:t>7</w:t>
            </w:r>
          </w:p>
        </w:tc>
        <w:tc>
          <w:tcPr>
            <w:tcW w:w="1139" w:type="dxa"/>
          </w:tcPr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vertAlign w:val="baseline"/>
                <w:lang w:val="ru-RU" w:eastAsia="zh-CN" w:bidi="ar"/>
              </w:rPr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vertAlign w:val="baseline"/>
                <w:lang w:val="ru-RU" w:eastAsia="zh-CN" w:bidi="ar"/>
              </w:rPr>
              <w:t>8-10-14-16</w:t>
            </w:r>
          </w:p>
        </w:tc>
        <w:tc>
          <w:tcPr>
            <w:tcW w:w="815" w:type="dxa"/>
          </w:tcPr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vertAlign w:val="baseline"/>
                <w:lang w:val="ru-RU" w:eastAsia="zh-CN" w:bidi="ar"/>
              </w:rPr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vertAlign w:val="baseline"/>
                <w:lang w:val="ru-RU" w:eastAsia="zh-CN" w:bidi="ar"/>
              </w:rPr>
              <w:t>20</w:t>
            </w:r>
          </w:p>
        </w:tc>
        <w:tc>
          <w:tcPr>
            <w:tcW w:w="875" w:type="dxa"/>
          </w:tcPr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vertAlign w:val="baseline"/>
                <w:lang w:val="ru-RU" w:eastAsia="zh-CN" w:bidi="ar"/>
              </w:rPr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vertAlign w:val="baseline"/>
                <w:lang w:val="ru-RU" w:eastAsia="zh-CN" w:bidi="ar"/>
              </w:rPr>
              <w:t>30</w:t>
            </w:r>
          </w:p>
        </w:tc>
        <w:tc>
          <w:tcPr>
            <w:tcW w:w="775" w:type="dxa"/>
          </w:tcPr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vertAlign w:val="baseline"/>
                <w:lang w:val="ru-RU" w:eastAsia="zh-CN" w:bidi="ar"/>
              </w:rPr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vertAlign w:val="baseline"/>
                <w:lang w:val="ru-RU" w:eastAsia="zh-CN" w:bidi="ar"/>
              </w:rPr>
              <w:t>50</w:t>
            </w:r>
          </w:p>
        </w:tc>
        <w:tc>
          <w:tcPr>
            <w:tcW w:w="907" w:type="dxa"/>
          </w:tcPr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vertAlign w:val="baseline"/>
                <w:lang w:val="ru-RU" w:eastAsia="zh-CN" w:bidi="ar"/>
              </w:rPr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vertAlign w:val="baseline"/>
                <w:lang w:val="ru-RU" w:eastAsia="zh-CN" w:bidi="ar"/>
              </w:rPr>
              <w:t>80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7" w:hRule="atLeast"/>
        </w:trPr>
        <w:tc>
          <w:tcPr>
            <w:tcW w:w="1537" w:type="dxa"/>
          </w:tcPr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SimSun" w:cs="Times New Roman"/>
                <w:color w:val="000000"/>
                <w:kern w:val="0"/>
                <w:sz w:val="20"/>
                <w:szCs w:val="20"/>
                <w:vertAlign w:val="baseline"/>
                <w:lang w:val="ru-RU" w:eastAsia="zh-CN" w:bidi="ar"/>
              </w:rPr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0"/>
                <w:szCs w:val="20"/>
                <w:vertAlign w:val="baseline"/>
                <w:lang w:val="ru-RU" w:eastAsia="zh-CN" w:bidi="ar"/>
              </w:rPr>
              <w:t>Длина оправки, мм</w:t>
            </w:r>
          </w:p>
        </w:tc>
        <w:tc>
          <w:tcPr>
            <w:tcW w:w="1374" w:type="dxa"/>
          </w:tcPr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vertAlign w:val="baseline"/>
                <w:lang w:val="ru-RU" w:eastAsia="zh-CN" w:bidi="ar"/>
              </w:rPr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vertAlign w:val="baseline"/>
                <w:lang w:val="ru-RU" w:eastAsia="zh-CN" w:bidi="ar"/>
              </w:rPr>
              <w:t>500</w:t>
            </w:r>
          </w:p>
        </w:tc>
        <w:tc>
          <w:tcPr>
            <w:tcW w:w="808" w:type="dxa"/>
          </w:tcPr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vertAlign w:val="baseline"/>
                <w:lang w:val="ru-RU" w:eastAsia="zh-CN" w:bidi="ar"/>
              </w:rPr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vertAlign w:val="baseline"/>
                <w:lang w:val="ru-RU" w:eastAsia="zh-CN" w:bidi="ar"/>
              </w:rPr>
              <w:t>1000</w:t>
            </w:r>
          </w:p>
        </w:tc>
        <w:tc>
          <w:tcPr>
            <w:tcW w:w="792" w:type="dxa"/>
          </w:tcPr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vertAlign w:val="baseline"/>
                <w:lang w:val="ru-RU" w:eastAsia="zh-CN" w:bidi="ar"/>
              </w:rPr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vertAlign w:val="baseline"/>
                <w:lang w:val="ru-RU" w:eastAsia="zh-CN" w:bidi="ar"/>
              </w:rPr>
              <w:t>1000</w:t>
            </w:r>
          </w:p>
        </w:tc>
        <w:tc>
          <w:tcPr>
            <w:tcW w:w="792" w:type="dxa"/>
          </w:tcPr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vertAlign w:val="baseline"/>
                <w:lang w:val="ru-RU" w:eastAsia="zh-CN" w:bidi="ar"/>
              </w:rPr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vertAlign w:val="baseline"/>
                <w:lang w:val="ru-RU" w:eastAsia="zh-CN" w:bidi="ar"/>
              </w:rPr>
              <w:t>1500</w:t>
            </w:r>
          </w:p>
        </w:tc>
        <w:tc>
          <w:tcPr>
            <w:tcW w:w="1139" w:type="dxa"/>
          </w:tcPr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vertAlign w:val="baseline"/>
                <w:lang w:val="ru-RU" w:eastAsia="zh-CN" w:bidi="ar"/>
              </w:rPr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vertAlign w:val="baseline"/>
                <w:lang w:val="ru-RU" w:eastAsia="zh-CN" w:bidi="ar"/>
              </w:rPr>
              <w:t>3000</w:t>
            </w:r>
          </w:p>
        </w:tc>
        <w:tc>
          <w:tcPr>
            <w:tcW w:w="815" w:type="dxa"/>
          </w:tcPr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vertAlign w:val="baseline"/>
                <w:lang w:val="ru-RU" w:eastAsia="zh-CN" w:bidi="ar"/>
              </w:rPr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vertAlign w:val="baseline"/>
                <w:lang w:val="ru-RU" w:eastAsia="zh-CN" w:bidi="ar"/>
              </w:rPr>
              <w:t>3000</w:t>
            </w:r>
          </w:p>
        </w:tc>
        <w:tc>
          <w:tcPr>
            <w:tcW w:w="875" w:type="dxa"/>
          </w:tcPr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vertAlign w:val="baseline"/>
                <w:lang w:val="ru-RU" w:eastAsia="zh-CN" w:bidi="ar"/>
              </w:rPr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vertAlign w:val="baseline"/>
                <w:lang w:val="ru-RU" w:eastAsia="zh-CN" w:bidi="ar"/>
              </w:rPr>
              <w:t>2000</w:t>
            </w:r>
          </w:p>
        </w:tc>
        <w:tc>
          <w:tcPr>
            <w:tcW w:w="775" w:type="dxa"/>
          </w:tcPr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vertAlign w:val="baseline"/>
                <w:lang w:val="ru-RU" w:eastAsia="zh-CN" w:bidi="ar"/>
              </w:rPr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vertAlign w:val="baseline"/>
                <w:lang w:val="ru-RU" w:eastAsia="zh-CN" w:bidi="ar"/>
              </w:rPr>
              <w:t>1000</w:t>
            </w:r>
          </w:p>
        </w:tc>
        <w:tc>
          <w:tcPr>
            <w:tcW w:w="907" w:type="dxa"/>
          </w:tcPr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vertAlign w:val="baseline"/>
                <w:lang w:val="ru-RU" w:eastAsia="zh-CN" w:bidi="ar"/>
              </w:rPr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vertAlign w:val="baseline"/>
                <w:lang w:val="ru-RU" w:eastAsia="zh-CN" w:bidi="ar"/>
              </w:rPr>
              <w:t>1000</w:t>
            </w:r>
          </w:p>
        </w:tc>
      </w:tr>
    </w:tbl>
    <w:p>
      <w:pPr>
        <w:keepNext w:val="0"/>
        <w:keepLines w:val="0"/>
        <w:widowControl/>
        <w:suppressLineNumbers w:val="0"/>
        <w:jc w:val="both"/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both"/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both"/>
      </w:pPr>
      <w:r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en-US" w:eastAsia="zh-CN" w:bidi="ar"/>
        </w:rPr>
        <w:t xml:space="preserve">Для закрепления прутка используется токарный патрон. Задняя бабка позволяет </w:t>
      </w:r>
      <w:r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ru-RU" w:eastAsia="zh-CN" w:bidi="ar"/>
        </w:rPr>
        <w:t>фиксировать второй конец оправки</w:t>
      </w:r>
      <w:r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en-US" w:eastAsia="zh-CN" w:bidi="ar"/>
        </w:rPr>
        <w:t xml:space="preserve"> после закрепления </w:t>
      </w:r>
      <w:r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ru-RU" w:eastAsia="zh-CN" w:bidi="ar"/>
        </w:rPr>
        <w:t xml:space="preserve">первого конца </w:t>
      </w:r>
      <w:r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en-US" w:eastAsia="zh-CN" w:bidi="ar"/>
        </w:rPr>
        <w:t>в токарн</w:t>
      </w:r>
      <w:r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ru-RU" w:eastAsia="zh-CN" w:bidi="ar"/>
        </w:rPr>
        <w:t>ом</w:t>
      </w:r>
      <w:r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en-US" w:eastAsia="zh-CN" w:bidi="ar"/>
        </w:rPr>
        <w:t xml:space="preserve"> патрон</w:t>
      </w:r>
      <w:r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ru-RU" w:eastAsia="zh-CN" w:bidi="ar"/>
        </w:rPr>
        <w:t>е</w:t>
      </w:r>
      <w:r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en-US" w:eastAsia="zh-CN" w:bidi="ar"/>
        </w:rPr>
        <w:t xml:space="preserve"> станка. </w:t>
      </w:r>
    </w:p>
    <w:p>
      <w:pPr>
        <w:keepNext w:val="0"/>
        <w:keepLines w:val="0"/>
        <w:widowControl/>
        <w:suppressLineNumbers w:val="0"/>
        <w:jc w:val="both"/>
      </w:pPr>
      <w:r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en-US" w:eastAsia="zh-CN" w:bidi="ar"/>
        </w:rPr>
        <w:t xml:space="preserve">3. Механизм раскладки. </w:t>
      </w:r>
      <w:r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ru-RU" w:eastAsia="zh-CN" w:bidi="ar"/>
        </w:rPr>
        <w:t>Основан на принципе «Винт-гайка».</w:t>
      </w:r>
      <w:r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en-US" w:eastAsia="zh-CN" w:bidi="ar"/>
        </w:rPr>
        <w:t xml:space="preserve"> Движение каретки механизма раскладки согласовывается с механизмами намотки, обеспечивая заданный шаг раскладки при любых скоростях намотки. </w:t>
      </w:r>
    </w:p>
    <w:p>
      <w:pPr>
        <w:keepNext w:val="0"/>
        <w:keepLines w:val="0"/>
        <w:widowControl/>
        <w:suppressLineNumbers w:val="0"/>
        <w:jc w:val="both"/>
      </w:pPr>
      <w:r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en-US" w:eastAsia="zh-CN" w:bidi="ar"/>
        </w:rPr>
        <w:t xml:space="preserve">4. Поводок. Поводок выполняет укладку кабеля на пруток. Поводок оснащен упором, для предотвращения выгибания прутка при намотке. На поводок может быть установлен датчик длины кабеля (при необходимости). </w:t>
      </w:r>
    </w:p>
    <w:p>
      <w:pPr>
        <w:keepNext w:val="0"/>
        <w:keepLines w:val="0"/>
        <w:widowControl/>
        <w:suppressLineNumbers w:val="0"/>
        <w:jc w:val="both"/>
        <w:rPr>
          <w:rFonts w:hint="default"/>
          <w:lang w:val="ru-RU"/>
        </w:rPr>
      </w:pPr>
      <w:r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en-US" w:eastAsia="zh-CN" w:bidi="ar"/>
        </w:rPr>
        <w:t xml:space="preserve">5. Смоточное устройство. Смоточное устройство предназначено для установки исходной катушки с кабелем </w:t>
      </w:r>
      <w:r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ru-RU" w:eastAsia="zh-CN" w:bidi="ar"/>
        </w:rPr>
        <w:t xml:space="preserve">(Д45 мм - диаметр оси вала) </w:t>
      </w:r>
      <w:r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en-US" w:eastAsia="zh-CN" w:bidi="ar"/>
        </w:rPr>
        <w:t xml:space="preserve">и создания необходимого натяжения при намотке. Натяжение обеспечивается механическим фрикционным тормозом вала смоточного устройства и является регулируемым. Смотка кабеля осуществляется сверху </w:t>
      </w:r>
      <w:r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ru-RU" w:eastAsia="zh-CN" w:bidi="ar"/>
        </w:rPr>
        <w:t>.</w:t>
      </w:r>
    </w:p>
    <w:p>
      <w:pPr>
        <w:keepNext w:val="0"/>
        <w:keepLines w:val="0"/>
        <w:widowControl/>
        <w:suppressLineNumbers w:val="0"/>
        <w:jc w:val="both"/>
      </w:pPr>
      <w:r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en-US" w:eastAsia="zh-CN" w:bidi="ar"/>
        </w:rPr>
        <w:t>6. Поворотная платформа</w:t>
      </w:r>
      <w:r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ru-RU" w:eastAsia="zh-CN" w:bidi="ar"/>
        </w:rPr>
        <w:t xml:space="preserve"> - отсутствует </w:t>
      </w:r>
      <w:r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en-US" w:eastAsia="zh-CN" w:bidi="ar"/>
        </w:rPr>
        <w:t>.</w:t>
      </w:r>
    </w:p>
    <w:p>
      <w:pPr>
        <w:keepNext w:val="0"/>
        <w:keepLines w:val="0"/>
        <w:widowControl/>
        <w:suppressLineNumbers w:val="0"/>
        <w:jc w:val="both"/>
      </w:pPr>
      <w:r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en-US" w:eastAsia="zh-CN" w:bidi="ar"/>
        </w:rPr>
        <w:t xml:space="preserve">7. Общее управление станком осуществляется блоком управления на базе </w:t>
      </w:r>
      <w:r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ru-RU" w:eastAsia="zh-CN" w:bidi="ar"/>
        </w:rPr>
        <w:t xml:space="preserve">СОЭП </w:t>
      </w:r>
      <w:r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en-US" w:eastAsia="zh-CN" w:bidi="ar"/>
        </w:rPr>
        <w:t>.</w:t>
      </w:r>
    </w:p>
    <w:p>
      <w:pPr>
        <w:tabs>
          <w:tab w:val="left" w:pos="1095"/>
        </w:tabs>
        <w:spacing w:line="360" w:lineRule="auto"/>
      </w:pPr>
    </w:p>
    <w:p>
      <w:pPr>
        <w:tabs>
          <w:tab w:val="left" w:pos="1095"/>
        </w:tabs>
        <w:spacing w:line="360" w:lineRule="auto"/>
      </w:pPr>
      <w:r>
        <w:t>С Уважением</w:t>
      </w:r>
    </w:p>
    <w:p>
      <w:pPr>
        <w:spacing w:line="360" w:lineRule="auto"/>
        <w:ind w:left="4956"/>
        <w:rPr>
          <w:rFonts w:hint="default"/>
          <w:lang w:val="ru-RU"/>
        </w:rPr>
        <w:sectPr>
          <w:footerReference r:id="rId3" w:type="default"/>
          <w:pgSz w:w="11906" w:h="16838"/>
          <w:pgMar w:top="244" w:right="567" w:bottom="249" w:left="1259" w:header="709" w:footer="709" w:gutter="0"/>
          <w:cols w:space="708" w:num="1"/>
          <w:docGrid w:linePitch="360" w:charSpace="0"/>
        </w:sectPr>
      </w:pPr>
      <w:r>
        <w:t xml:space="preserve">                     </w:t>
      </w:r>
      <w:r>
        <w:tab/>
      </w:r>
      <w:r>
        <w:t xml:space="preserve">  Максимкин А.</w:t>
      </w:r>
      <w:r>
        <w:rPr>
          <w:lang w:val="ru-RU"/>
        </w:rPr>
        <w:t>И</w:t>
      </w:r>
      <w:r>
        <w:rPr>
          <w:rFonts w:hint="default"/>
          <w:lang w:val="ru-RU"/>
        </w:rPr>
        <w:t>.</w:t>
      </w:r>
    </w:p>
    <w:p>
      <w:pPr>
        <w:spacing w:line="360" w:lineRule="auto"/>
        <w:rPr>
          <w:rFonts w:hint="default"/>
          <w:lang w:val="ru-RU"/>
        </w:rPr>
      </w:pPr>
    </w:p>
    <w:sectPr>
      <w:pgSz w:w="16838" w:h="11906" w:orient="landscape"/>
      <w:pgMar w:top="1259" w:right="244" w:bottom="567" w:left="249" w:header="709" w:footer="709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TimesNewRomanPSMT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jc w:val="center"/>
      <w:rPr>
        <w:sz w:val="16"/>
        <w:szCs w:val="16"/>
      </w:rPr>
    </w:pPr>
    <w:r>
      <w:fldChar w:fldCharType="begin"/>
    </w:r>
    <w:r>
      <w:instrText xml:space="preserve"> HYPERLINK "http://www.kabemaleks.ru" </w:instrText>
    </w:r>
    <w:r>
      <w:fldChar w:fldCharType="separate"/>
    </w:r>
    <w:r>
      <w:rPr>
        <w:rStyle w:val="5"/>
        <w:sz w:val="16"/>
        <w:szCs w:val="16"/>
        <w:lang w:val="en-US"/>
      </w:rPr>
      <w:t>www.kabemaleks.ru</w:t>
    </w:r>
    <w:r>
      <w:rPr>
        <w:rStyle w:val="5"/>
        <w:sz w:val="16"/>
        <w:szCs w:val="16"/>
        <w:lang w:val="en-US"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val="bestFit" w:percent="162"/>
  <w:bordersDoNotSurroundHeader w:val="0"/>
  <w:bordersDoNotSurroundFooter w:val="0"/>
  <w:doNotTrackMoves/>
  <w:documentProtection w:enforcement="0"/>
  <w:defaultTabStop w:val="708"/>
  <w:hyphenationZone w:val="357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DEB"/>
    <w:rsid w:val="00011259"/>
    <w:rsid w:val="0001715E"/>
    <w:rsid w:val="00022204"/>
    <w:rsid w:val="000239F2"/>
    <w:rsid w:val="00026266"/>
    <w:rsid w:val="00027A3E"/>
    <w:rsid w:val="00040B8A"/>
    <w:rsid w:val="00044FE7"/>
    <w:rsid w:val="00054114"/>
    <w:rsid w:val="00066CE5"/>
    <w:rsid w:val="000670E6"/>
    <w:rsid w:val="000700A6"/>
    <w:rsid w:val="0007091E"/>
    <w:rsid w:val="000A3EA2"/>
    <w:rsid w:val="000B6AA4"/>
    <w:rsid w:val="000C2462"/>
    <w:rsid w:val="000C2523"/>
    <w:rsid w:val="000D50DD"/>
    <w:rsid w:val="000D5840"/>
    <w:rsid w:val="000D6949"/>
    <w:rsid w:val="000F3FC2"/>
    <w:rsid w:val="001109A3"/>
    <w:rsid w:val="0011340A"/>
    <w:rsid w:val="001247E9"/>
    <w:rsid w:val="00125974"/>
    <w:rsid w:val="00134109"/>
    <w:rsid w:val="001442CF"/>
    <w:rsid w:val="001535C1"/>
    <w:rsid w:val="001537A2"/>
    <w:rsid w:val="001579C6"/>
    <w:rsid w:val="00160AE4"/>
    <w:rsid w:val="00165D7C"/>
    <w:rsid w:val="001709D4"/>
    <w:rsid w:val="00171787"/>
    <w:rsid w:val="001830CB"/>
    <w:rsid w:val="00185AD6"/>
    <w:rsid w:val="001928A8"/>
    <w:rsid w:val="001A2F90"/>
    <w:rsid w:val="001B0E84"/>
    <w:rsid w:val="001C5888"/>
    <w:rsid w:val="001D2256"/>
    <w:rsid w:val="001D4B5E"/>
    <w:rsid w:val="001E1CD6"/>
    <w:rsid w:val="001E2344"/>
    <w:rsid w:val="001E3EB3"/>
    <w:rsid w:val="001F1C2F"/>
    <w:rsid w:val="001F7865"/>
    <w:rsid w:val="00204846"/>
    <w:rsid w:val="00206575"/>
    <w:rsid w:val="00212E05"/>
    <w:rsid w:val="002142CC"/>
    <w:rsid w:val="00225D69"/>
    <w:rsid w:val="002313B9"/>
    <w:rsid w:val="0023243D"/>
    <w:rsid w:val="002356B3"/>
    <w:rsid w:val="00235BBE"/>
    <w:rsid w:val="00235F5B"/>
    <w:rsid w:val="00241A23"/>
    <w:rsid w:val="002466D0"/>
    <w:rsid w:val="00247D0D"/>
    <w:rsid w:val="00250E56"/>
    <w:rsid w:val="002532E4"/>
    <w:rsid w:val="002547B8"/>
    <w:rsid w:val="00255E78"/>
    <w:rsid w:val="00261F72"/>
    <w:rsid w:val="00266E53"/>
    <w:rsid w:val="00283A4C"/>
    <w:rsid w:val="00293830"/>
    <w:rsid w:val="002A3AA6"/>
    <w:rsid w:val="002A62D0"/>
    <w:rsid w:val="002B22E4"/>
    <w:rsid w:val="002B4E03"/>
    <w:rsid w:val="002B685A"/>
    <w:rsid w:val="002C21F5"/>
    <w:rsid w:val="002C6D9A"/>
    <w:rsid w:val="002E0520"/>
    <w:rsid w:val="002E3729"/>
    <w:rsid w:val="002E4E79"/>
    <w:rsid w:val="002E79A4"/>
    <w:rsid w:val="002F02A1"/>
    <w:rsid w:val="002F2934"/>
    <w:rsid w:val="002F54CF"/>
    <w:rsid w:val="002F6902"/>
    <w:rsid w:val="002F6F3F"/>
    <w:rsid w:val="00300EEA"/>
    <w:rsid w:val="003049E0"/>
    <w:rsid w:val="003131FB"/>
    <w:rsid w:val="0032446F"/>
    <w:rsid w:val="00327377"/>
    <w:rsid w:val="003307B1"/>
    <w:rsid w:val="003318B7"/>
    <w:rsid w:val="00337308"/>
    <w:rsid w:val="00340E22"/>
    <w:rsid w:val="00346105"/>
    <w:rsid w:val="00347124"/>
    <w:rsid w:val="00353366"/>
    <w:rsid w:val="003623B5"/>
    <w:rsid w:val="00365D5F"/>
    <w:rsid w:val="0036671D"/>
    <w:rsid w:val="003729C2"/>
    <w:rsid w:val="003754E8"/>
    <w:rsid w:val="00375B28"/>
    <w:rsid w:val="003777B0"/>
    <w:rsid w:val="00392FC2"/>
    <w:rsid w:val="003936EF"/>
    <w:rsid w:val="00393FC6"/>
    <w:rsid w:val="00394EB8"/>
    <w:rsid w:val="00395854"/>
    <w:rsid w:val="003C466E"/>
    <w:rsid w:val="003C483D"/>
    <w:rsid w:val="003C549F"/>
    <w:rsid w:val="003D5CD8"/>
    <w:rsid w:val="003E2EA4"/>
    <w:rsid w:val="003F7944"/>
    <w:rsid w:val="004035B1"/>
    <w:rsid w:val="0041201E"/>
    <w:rsid w:val="0041352A"/>
    <w:rsid w:val="00414CC7"/>
    <w:rsid w:val="0041764A"/>
    <w:rsid w:val="00436E0F"/>
    <w:rsid w:val="00440503"/>
    <w:rsid w:val="00455B4B"/>
    <w:rsid w:val="004578F5"/>
    <w:rsid w:val="00465241"/>
    <w:rsid w:val="00470944"/>
    <w:rsid w:val="00476240"/>
    <w:rsid w:val="00496E4D"/>
    <w:rsid w:val="004A222A"/>
    <w:rsid w:val="004A4E59"/>
    <w:rsid w:val="004B4B81"/>
    <w:rsid w:val="004B5BE1"/>
    <w:rsid w:val="004C56B5"/>
    <w:rsid w:val="004D0F6B"/>
    <w:rsid w:val="004D4173"/>
    <w:rsid w:val="004D6356"/>
    <w:rsid w:val="004D7216"/>
    <w:rsid w:val="004E4608"/>
    <w:rsid w:val="004E5F48"/>
    <w:rsid w:val="004E78DF"/>
    <w:rsid w:val="004F29B5"/>
    <w:rsid w:val="005001D3"/>
    <w:rsid w:val="00500E3E"/>
    <w:rsid w:val="00507BF2"/>
    <w:rsid w:val="00531B4E"/>
    <w:rsid w:val="00531E75"/>
    <w:rsid w:val="00535C58"/>
    <w:rsid w:val="00541FA5"/>
    <w:rsid w:val="005456A2"/>
    <w:rsid w:val="00581018"/>
    <w:rsid w:val="00581BB5"/>
    <w:rsid w:val="00582FDE"/>
    <w:rsid w:val="00591B84"/>
    <w:rsid w:val="00594894"/>
    <w:rsid w:val="00597D0B"/>
    <w:rsid w:val="005A7B6E"/>
    <w:rsid w:val="005B044F"/>
    <w:rsid w:val="005B1295"/>
    <w:rsid w:val="005B22D4"/>
    <w:rsid w:val="005B5A1C"/>
    <w:rsid w:val="005C7CB5"/>
    <w:rsid w:val="005E0D5E"/>
    <w:rsid w:val="005E1E04"/>
    <w:rsid w:val="005E5F95"/>
    <w:rsid w:val="005E697C"/>
    <w:rsid w:val="005F3BC0"/>
    <w:rsid w:val="005F413A"/>
    <w:rsid w:val="005F51F2"/>
    <w:rsid w:val="00601769"/>
    <w:rsid w:val="00602388"/>
    <w:rsid w:val="00602522"/>
    <w:rsid w:val="0060597F"/>
    <w:rsid w:val="00606673"/>
    <w:rsid w:val="00612C91"/>
    <w:rsid w:val="00625340"/>
    <w:rsid w:val="00625DCB"/>
    <w:rsid w:val="00631A8C"/>
    <w:rsid w:val="006360F3"/>
    <w:rsid w:val="0065021F"/>
    <w:rsid w:val="00661EB4"/>
    <w:rsid w:val="0066378F"/>
    <w:rsid w:val="006754DB"/>
    <w:rsid w:val="006829B2"/>
    <w:rsid w:val="00687C1D"/>
    <w:rsid w:val="006926C9"/>
    <w:rsid w:val="00692880"/>
    <w:rsid w:val="00693C8C"/>
    <w:rsid w:val="00694A33"/>
    <w:rsid w:val="006965EE"/>
    <w:rsid w:val="006B446B"/>
    <w:rsid w:val="006C09CD"/>
    <w:rsid w:val="006D1238"/>
    <w:rsid w:val="006D76C1"/>
    <w:rsid w:val="006E47CD"/>
    <w:rsid w:val="006E7A38"/>
    <w:rsid w:val="00703EE6"/>
    <w:rsid w:val="007048F6"/>
    <w:rsid w:val="007128BF"/>
    <w:rsid w:val="00712952"/>
    <w:rsid w:val="00715918"/>
    <w:rsid w:val="007164ED"/>
    <w:rsid w:val="00722CC6"/>
    <w:rsid w:val="007336E5"/>
    <w:rsid w:val="007364AB"/>
    <w:rsid w:val="0074314E"/>
    <w:rsid w:val="00747C24"/>
    <w:rsid w:val="00751F80"/>
    <w:rsid w:val="00771264"/>
    <w:rsid w:val="00777A9A"/>
    <w:rsid w:val="0078252E"/>
    <w:rsid w:val="0078286E"/>
    <w:rsid w:val="00782F9E"/>
    <w:rsid w:val="00784FB0"/>
    <w:rsid w:val="007854CD"/>
    <w:rsid w:val="00791A50"/>
    <w:rsid w:val="00794A7D"/>
    <w:rsid w:val="00795ED5"/>
    <w:rsid w:val="00796B1E"/>
    <w:rsid w:val="00797819"/>
    <w:rsid w:val="007A35A1"/>
    <w:rsid w:val="007A550C"/>
    <w:rsid w:val="007A579B"/>
    <w:rsid w:val="007A6ECB"/>
    <w:rsid w:val="007B3D9C"/>
    <w:rsid w:val="007C2FF5"/>
    <w:rsid w:val="007C4434"/>
    <w:rsid w:val="007C6A55"/>
    <w:rsid w:val="007D25E9"/>
    <w:rsid w:val="007D3910"/>
    <w:rsid w:val="007E2103"/>
    <w:rsid w:val="007E4FA0"/>
    <w:rsid w:val="007E57A3"/>
    <w:rsid w:val="007E641E"/>
    <w:rsid w:val="007E7D49"/>
    <w:rsid w:val="007F0A69"/>
    <w:rsid w:val="007F1209"/>
    <w:rsid w:val="007F65F9"/>
    <w:rsid w:val="00800001"/>
    <w:rsid w:val="00800010"/>
    <w:rsid w:val="00803EB6"/>
    <w:rsid w:val="008057BB"/>
    <w:rsid w:val="00810CDE"/>
    <w:rsid w:val="00813E8D"/>
    <w:rsid w:val="00835083"/>
    <w:rsid w:val="0083609F"/>
    <w:rsid w:val="00853C44"/>
    <w:rsid w:val="00861460"/>
    <w:rsid w:val="00862FF7"/>
    <w:rsid w:val="00867781"/>
    <w:rsid w:val="0087076E"/>
    <w:rsid w:val="0087212A"/>
    <w:rsid w:val="00882BD0"/>
    <w:rsid w:val="00887CCB"/>
    <w:rsid w:val="00887F5E"/>
    <w:rsid w:val="008935FA"/>
    <w:rsid w:val="008946B2"/>
    <w:rsid w:val="008A25E5"/>
    <w:rsid w:val="008A2F79"/>
    <w:rsid w:val="008A4D85"/>
    <w:rsid w:val="008B4EDF"/>
    <w:rsid w:val="008C110F"/>
    <w:rsid w:val="008D65A7"/>
    <w:rsid w:val="008E4E0B"/>
    <w:rsid w:val="008E4FD7"/>
    <w:rsid w:val="0090324A"/>
    <w:rsid w:val="009173F5"/>
    <w:rsid w:val="0092248D"/>
    <w:rsid w:val="00936EED"/>
    <w:rsid w:val="0093700B"/>
    <w:rsid w:val="0095008A"/>
    <w:rsid w:val="009526F0"/>
    <w:rsid w:val="00952FA9"/>
    <w:rsid w:val="0095759A"/>
    <w:rsid w:val="00965699"/>
    <w:rsid w:val="0097693F"/>
    <w:rsid w:val="00977208"/>
    <w:rsid w:val="00977CDD"/>
    <w:rsid w:val="00981437"/>
    <w:rsid w:val="00982DCC"/>
    <w:rsid w:val="00982F91"/>
    <w:rsid w:val="00990E1C"/>
    <w:rsid w:val="009922AB"/>
    <w:rsid w:val="00994D49"/>
    <w:rsid w:val="0099530F"/>
    <w:rsid w:val="0099795B"/>
    <w:rsid w:val="009A18CF"/>
    <w:rsid w:val="009B0331"/>
    <w:rsid w:val="009B7D4B"/>
    <w:rsid w:val="009C3EEB"/>
    <w:rsid w:val="009C4515"/>
    <w:rsid w:val="009C7089"/>
    <w:rsid w:val="009D0AA2"/>
    <w:rsid w:val="009D6C91"/>
    <w:rsid w:val="009E6C92"/>
    <w:rsid w:val="00A051F7"/>
    <w:rsid w:val="00A064B1"/>
    <w:rsid w:val="00A10657"/>
    <w:rsid w:val="00A1085F"/>
    <w:rsid w:val="00A26D85"/>
    <w:rsid w:val="00A52A55"/>
    <w:rsid w:val="00A52D8A"/>
    <w:rsid w:val="00A63471"/>
    <w:rsid w:val="00A93D68"/>
    <w:rsid w:val="00A93E76"/>
    <w:rsid w:val="00A96C8A"/>
    <w:rsid w:val="00AA2DEB"/>
    <w:rsid w:val="00AB7005"/>
    <w:rsid w:val="00AB7C2D"/>
    <w:rsid w:val="00AC0552"/>
    <w:rsid w:val="00AC2185"/>
    <w:rsid w:val="00AC2ABA"/>
    <w:rsid w:val="00AC38FF"/>
    <w:rsid w:val="00AC436C"/>
    <w:rsid w:val="00AC5AEC"/>
    <w:rsid w:val="00AC753C"/>
    <w:rsid w:val="00AD02A9"/>
    <w:rsid w:val="00AD47BE"/>
    <w:rsid w:val="00AE1C1B"/>
    <w:rsid w:val="00AE5B84"/>
    <w:rsid w:val="00AF4D55"/>
    <w:rsid w:val="00AF54D0"/>
    <w:rsid w:val="00B01074"/>
    <w:rsid w:val="00B019E5"/>
    <w:rsid w:val="00B0226A"/>
    <w:rsid w:val="00B02BB9"/>
    <w:rsid w:val="00B148ED"/>
    <w:rsid w:val="00B16888"/>
    <w:rsid w:val="00B16EEC"/>
    <w:rsid w:val="00B20BAF"/>
    <w:rsid w:val="00B23E2C"/>
    <w:rsid w:val="00B303C0"/>
    <w:rsid w:val="00B31059"/>
    <w:rsid w:val="00B3397B"/>
    <w:rsid w:val="00B37997"/>
    <w:rsid w:val="00B43631"/>
    <w:rsid w:val="00B441AD"/>
    <w:rsid w:val="00B46229"/>
    <w:rsid w:val="00B65901"/>
    <w:rsid w:val="00B6720B"/>
    <w:rsid w:val="00B72EA7"/>
    <w:rsid w:val="00B758DF"/>
    <w:rsid w:val="00B9495E"/>
    <w:rsid w:val="00BA21EB"/>
    <w:rsid w:val="00BC3D8E"/>
    <w:rsid w:val="00BC4654"/>
    <w:rsid w:val="00BD17FA"/>
    <w:rsid w:val="00BD64EB"/>
    <w:rsid w:val="00BE4D2E"/>
    <w:rsid w:val="00BF2C43"/>
    <w:rsid w:val="00C009A2"/>
    <w:rsid w:val="00C0112F"/>
    <w:rsid w:val="00C0488B"/>
    <w:rsid w:val="00C054E8"/>
    <w:rsid w:val="00C10D95"/>
    <w:rsid w:val="00C24B79"/>
    <w:rsid w:val="00C31F17"/>
    <w:rsid w:val="00C33F3B"/>
    <w:rsid w:val="00C354B3"/>
    <w:rsid w:val="00C43DCE"/>
    <w:rsid w:val="00C560AC"/>
    <w:rsid w:val="00C835A5"/>
    <w:rsid w:val="00C876ED"/>
    <w:rsid w:val="00C87763"/>
    <w:rsid w:val="00C94159"/>
    <w:rsid w:val="00CA240F"/>
    <w:rsid w:val="00CB648C"/>
    <w:rsid w:val="00CC1772"/>
    <w:rsid w:val="00CE36B2"/>
    <w:rsid w:val="00CF0AA4"/>
    <w:rsid w:val="00CF5997"/>
    <w:rsid w:val="00D027C2"/>
    <w:rsid w:val="00D02F37"/>
    <w:rsid w:val="00D06540"/>
    <w:rsid w:val="00D10FAB"/>
    <w:rsid w:val="00D1423D"/>
    <w:rsid w:val="00D17359"/>
    <w:rsid w:val="00D20DF9"/>
    <w:rsid w:val="00D35593"/>
    <w:rsid w:val="00D40019"/>
    <w:rsid w:val="00D412A7"/>
    <w:rsid w:val="00D47FEE"/>
    <w:rsid w:val="00D50A21"/>
    <w:rsid w:val="00D76F4E"/>
    <w:rsid w:val="00D85B54"/>
    <w:rsid w:val="00D86A07"/>
    <w:rsid w:val="00DA0C91"/>
    <w:rsid w:val="00DB6DE2"/>
    <w:rsid w:val="00DC62BE"/>
    <w:rsid w:val="00DE2C19"/>
    <w:rsid w:val="00DE3EEC"/>
    <w:rsid w:val="00DE645A"/>
    <w:rsid w:val="00DF1E62"/>
    <w:rsid w:val="00E051F5"/>
    <w:rsid w:val="00E11209"/>
    <w:rsid w:val="00E242B2"/>
    <w:rsid w:val="00E314E7"/>
    <w:rsid w:val="00E315A8"/>
    <w:rsid w:val="00E400E7"/>
    <w:rsid w:val="00E41D51"/>
    <w:rsid w:val="00E43323"/>
    <w:rsid w:val="00E54761"/>
    <w:rsid w:val="00E54C67"/>
    <w:rsid w:val="00E562B7"/>
    <w:rsid w:val="00E624D9"/>
    <w:rsid w:val="00E64CBA"/>
    <w:rsid w:val="00E80914"/>
    <w:rsid w:val="00E818C5"/>
    <w:rsid w:val="00E82B0E"/>
    <w:rsid w:val="00E940B3"/>
    <w:rsid w:val="00E94C63"/>
    <w:rsid w:val="00EA4D3A"/>
    <w:rsid w:val="00EA4F3B"/>
    <w:rsid w:val="00EA7A8B"/>
    <w:rsid w:val="00EB2E8A"/>
    <w:rsid w:val="00EC5AB8"/>
    <w:rsid w:val="00EC778A"/>
    <w:rsid w:val="00ED23C2"/>
    <w:rsid w:val="00ED255D"/>
    <w:rsid w:val="00ED4437"/>
    <w:rsid w:val="00EE40D1"/>
    <w:rsid w:val="00EE4E91"/>
    <w:rsid w:val="00EE67F4"/>
    <w:rsid w:val="00EE706A"/>
    <w:rsid w:val="00F00432"/>
    <w:rsid w:val="00F05FAA"/>
    <w:rsid w:val="00F120E9"/>
    <w:rsid w:val="00F145BA"/>
    <w:rsid w:val="00F20DA0"/>
    <w:rsid w:val="00F2599D"/>
    <w:rsid w:val="00F3486E"/>
    <w:rsid w:val="00F35153"/>
    <w:rsid w:val="00F453BA"/>
    <w:rsid w:val="00F463A1"/>
    <w:rsid w:val="00F5080C"/>
    <w:rsid w:val="00F510C8"/>
    <w:rsid w:val="00F548EE"/>
    <w:rsid w:val="00F63E2B"/>
    <w:rsid w:val="00F6618A"/>
    <w:rsid w:val="00F666CA"/>
    <w:rsid w:val="00F7737D"/>
    <w:rsid w:val="00F9014D"/>
    <w:rsid w:val="00F91979"/>
    <w:rsid w:val="00F91FD0"/>
    <w:rsid w:val="00F93EB5"/>
    <w:rsid w:val="00F949EC"/>
    <w:rsid w:val="00F95D6B"/>
    <w:rsid w:val="00FA1191"/>
    <w:rsid w:val="00FA17B0"/>
    <w:rsid w:val="00FA2CE6"/>
    <w:rsid w:val="00FA46C0"/>
    <w:rsid w:val="00FA5632"/>
    <w:rsid w:val="00FB61E4"/>
    <w:rsid w:val="00FC48E5"/>
    <w:rsid w:val="00FD2BDA"/>
    <w:rsid w:val="00FE20CB"/>
    <w:rsid w:val="00FE6AE1"/>
    <w:rsid w:val="00FF1745"/>
    <w:rsid w:val="026E6750"/>
    <w:rsid w:val="0B300742"/>
    <w:rsid w:val="12577C9E"/>
    <w:rsid w:val="181A7754"/>
    <w:rsid w:val="1A4F7AE0"/>
    <w:rsid w:val="21703397"/>
    <w:rsid w:val="248D51B6"/>
    <w:rsid w:val="279C4475"/>
    <w:rsid w:val="28BE14D1"/>
    <w:rsid w:val="2C5361EB"/>
    <w:rsid w:val="2CCC22D4"/>
    <w:rsid w:val="39DA6A6E"/>
    <w:rsid w:val="3B274CA4"/>
    <w:rsid w:val="43956BAF"/>
    <w:rsid w:val="495A1412"/>
    <w:rsid w:val="498A78D3"/>
    <w:rsid w:val="4AD541FC"/>
    <w:rsid w:val="55E64281"/>
    <w:rsid w:val="573723A0"/>
    <w:rsid w:val="57A0006C"/>
    <w:rsid w:val="589D2994"/>
    <w:rsid w:val="590630B0"/>
    <w:rsid w:val="5929122C"/>
    <w:rsid w:val="5A1D3A96"/>
    <w:rsid w:val="600A52B8"/>
    <w:rsid w:val="61F94F18"/>
    <w:rsid w:val="6E0A2B9D"/>
    <w:rsid w:val="705F5872"/>
    <w:rsid w:val="741A61B8"/>
    <w:rsid w:val="7DE24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name="Balloon Text"/>
    <w:lsdException w:qFormat="1" w:unhideWhenUsed="0" w:uiPriority="0" w:semiHidden="0" w:name="Table Grid"/>
    <w:lsdException w:unhideWhenUsed="0" w:uiPriority="0" w:semiHidden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paragraph" w:styleId="2">
    <w:name w:val="heading 2"/>
    <w:basedOn w:val="1"/>
    <w:next w:val="1"/>
    <w:link w:val="20"/>
    <w:qFormat/>
    <w:uiPriority w:val="9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qFormat/>
    <w:uiPriority w:val="0"/>
    <w:rPr>
      <w:color w:val="0000FF"/>
      <w:u w:val="single"/>
    </w:rPr>
  </w:style>
  <w:style w:type="paragraph" w:styleId="6">
    <w:name w:val="Balloon Text"/>
    <w:basedOn w:val="1"/>
    <w:semiHidden/>
    <w:uiPriority w:val="0"/>
    <w:rPr>
      <w:rFonts w:ascii="Tahoma" w:hAnsi="Tahoma" w:cs="Tahoma"/>
      <w:sz w:val="16"/>
      <w:szCs w:val="16"/>
    </w:rPr>
  </w:style>
  <w:style w:type="paragraph" w:styleId="7">
    <w:name w:val="Body Text Indent 3"/>
    <w:basedOn w:val="1"/>
    <w:qFormat/>
    <w:uiPriority w:val="0"/>
    <w:pPr>
      <w:ind w:firstLine="720"/>
      <w:jc w:val="both"/>
    </w:pPr>
    <w:rPr>
      <w:szCs w:val="20"/>
    </w:rPr>
  </w:style>
  <w:style w:type="paragraph" w:styleId="8">
    <w:name w:val="Document Map"/>
    <w:basedOn w:val="1"/>
    <w:semiHidden/>
    <w:qFormat/>
    <w:uiPriority w:val="0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9">
    <w:name w:val="header"/>
    <w:basedOn w:val="1"/>
    <w:link w:val="16"/>
    <w:qFormat/>
    <w:uiPriority w:val="0"/>
    <w:pPr>
      <w:tabs>
        <w:tab w:val="center" w:pos="4677"/>
        <w:tab w:val="right" w:pos="9355"/>
      </w:tabs>
    </w:pPr>
  </w:style>
  <w:style w:type="paragraph" w:styleId="10">
    <w:name w:val="footer"/>
    <w:basedOn w:val="1"/>
    <w:link w:val="17"/>
    <w:qFormat/>
    <w:uiPriority w:val="99"/>
    <w:pPr>
      <w:tabs>
        <w:tab w:val="center" w:pos="4677"/>
        <w:tab w:val="right" w:pos="9355"/>
      </w:tabs>
    </w:pPr>
  </w:style>
  <w:style w:type="paragraph" w:styleId="11">
    <w:name w:val="HTML Preformatted"/>
    <w:basedOn w:val="1"/>
    <w:link w:val="22"/>
    <w:unhideWhenUsed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eastAsia="Calibri"/>
      <w:color w:val="000000"/>
      <w:sz w:val="20"/>
      <w:szCs w:val="20"/>
      <w:lang w:eastAsia="en-US"/>
    </w:rPr>
  </w:style>
  <w:style w:type="table" w:styleId="12">
    <w:name w:val="Table Grid"/>
    <w:basedOn w:val="4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3">
    <w:name w:val="text"/>
    <w:basedOn w:val="3"/>
    <w:qFormat/>
    <w:uiPriority w:val="0"/>
  </w:style>
  <w:style w:type="character" w:customStyle="1" w:styleId="14">
    <w:name w:val="apple-style-span"/>
    <w:basedOn w:val="3"/>
    <w:qFormat/>
    <w:uiPriority w:val="0"/>
  </w:style>
  <w:style w:type="character" w:customStyle="1" w:styleId="15">
    <w:name w:val="apple-converted-space"/>
    <w:basedOn w:val="3"/>
    <w:qFormat/>
    <w:uiPriority w:val="0"/>
  </w:style>
  <w:style w:type="character" w:customStyle="1" w:styleId="16">
    <w:name w:val="Верхний колонтитул Знак"/>
    <w:link w:val="9"/>
    <w:qFormat/>
    <w:uiPriority w:val="0"/>
    <w:rPr>
      <w:sz w:val="24"/>
      <w:szCs w:val="24"/>
    </w:rPr>
  </w:style>
  <w:style w:type="character" w:customStyle="1" w:styleId="17">
    <w:name w:val="Нижний колонтитул Знак"/>
    <w:link w:val="10"/>
    <w:qFormat/>
    <w:uiPriority w:val="99"/>
    <w:rPr>
      <w:sz w:val="24"/>
      <w:szCs w:val="24"/>
    </w:rPr>
  </w:style>
  <w:style w:type="paragraph" w:styleId="18">
    <w:name w:val="List Paragraph"/>
    <w:basedOn w:val="1"/>
    <w:qFormat/>
    <w:uiPriority w:val="34"/>
    <w:pPr>
      <w:spacing w:after="200" w:line="276" w:lineRule="auto"/>
      <w:ind w:left="720"/>
      <w:contextualSpacing/>
    </w:pPr>
    <w:rPr>
      <w:rFonts w:ascii="Calibri" w:hAnsi="Calibri" w:eastAsia="Calibri"/>
      <w:sz w:val="22"/>
      <w:szCs w:val="22"/>
      <w:lang w:eastAsia="en-US"/>
    </w:rPr>
  </w:style>
  <w:style w:type="character" w:customStyle="1" w:styleId="19">
    <w:name w:val="js-phone-number"/>
    <w:uiPriority w:val="0"/>
  </w:style>
  <w:style w:type="character" w:customStyle="1" w:styleId="20">
    <w:name w:val="Заголовок 2 Знак"/>
    <w:link w:val="2"/>
    <w:qFormat/>
    <w:uiPriority w:val="9"/>
    <w:rPr>
      <w:b/>
      <w:bCs/>
      <w:sz w:val="36"/>
      <w:szCs w:val="36"/>
    </w:rPr>
  </w:style>
  <w:style w:type="paragraph" w:customStyle="1" w:styleId="21">
    <w:name w:val="Default"/>
    <w:qFormat/>
    <w:uiPriority w:val="0"/>
    <w:pPr>
      <w:autoSpaceDE w:val="0"/>
      <w:autoSpaceDN w:val="0"/>
      <w:adjustRightInd w:val="0"/>
    </w:pPr>
    <w:rPr>
      <w:rFonts w:ascii="Calibri" w:hAnsi="Calibri" w:eastAsia="Times New Roman" w:cs="Calibri"/>
      <w:color w:val="000000"/>
      <w:sz w:val="24"/>
      <w:szCs w:val="24"/>
      <w:lang w:val="ru-RU" w:eastAsia="ru-RU" w:bidi="ar-SA"/>
    </w:rPr>
  </w:style>
  <w:style w:type="character" w:customStyle="1" w:styleId="22">
    <w:name w:val="Стандартный HTML Знак"/>
    <w:link w:val="11"/>
    <w:qFormat/>
    <w:uiPriority w:val="99"/>
    <w:rPr>
      <w:rFonts w:ascii="Courier New" w:hAnsi="Courier New" w:eastAsia="Calibri" w:cs="Courier New"/>
      <w:color w:val="000000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HP</Company>
  <Pages>2</Pages>
  <Words>77</Words>
  <Characters>501</Characters>
  <Lines>23</Lines>
  <Paragraphs>6</Paragraphs>
  <TotalTime>6</TotalTime>
  <ScaleCrop>false</ScaleCrop>
  <LinksUpToDate>false</LinksUpToDate>
  <CharactersWithSpaces>586</CharactersWithSpaces>
  <Application>WPS Office_11.2.0.10114_F1E327BC-269C-435d-A152-05C5408002CA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2018-06-04T14:03:00Z</dcterms:created>
  <dc:creator>Максимкин АИ</dc:creator>
  <cp:lastModifiedBy>google1560498086</cp:lastModifiedBy>
  <cp:lastPrinted>2018-06-04T14:01:00Z</cp:lastPrinted>
  <dcterms:modified xsi:type="dcterms:W3CDTF">2021-04-26T06:36:11Z</dcterms:modified>
  <dc:title>Общество с ограниченной ответственной   РусИнтерна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1049-11.2.0.10114</vt:lpwstr>
  </property>
</Properties>
</file>