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45" w:rsidRDefault="00C430C4">
      <w:pPr>
        <w:jc w:val="right"/>
      </w:pPr>
      <w:r>
        <w:t xml:space="preserve">Приложение № 2 </w:t>
      </w:r>
    </w:p>
    <w:p w:rsidR="00401B45" w:rsidRDefault="00C430C4">
      <w:pPr>
        <w:jc w:val="right"/>
      </w:pPr>
      <w:r>
        <w:t xml:space="preserve">к Документации о закупке </w:t>
      </w:r>
    </w:p>
    <w:p w:rsidR="00401B45" w:rsidRDefault="00C430C4">
      <w:pPr>
        <w:widowControl w:val="0"/>
        <w:spacing w:before="480" w:after="120"/>
        <w:jc w:val="center"/>
        <w:outlineLvl w:val="0"/>
      </w:pPr>
      <w:r>
        <w:rPr>
          <w:b/>
          <w:sz w:val="28"/>
          <w:szCs w:val="28"/>
        </w:rPr>
        <w:t>ТРЕБОВАНИЯ К ПРОДУКЦИИ (ПРЕДМЕТУ ЗАКУПКИ)</w:t>
      </w:r>
    </w:p>
    <w:p w:rsidR="00401B45" w:rsidRDefault="00C430C4">
      <w:pPr>
        <w:suppressAutoHyphens/>
        <w:spacing w:line="360" w:lineRule="auto"/>
        <w:jc w:val="center"/>
        <w:rPr>
          <w:b/>
          <w:bCs/>
          <w:i/>
          <w:iCs/>
        </w:rPr>
      </w:pPr>
      <w:r>
        <w:rPr>
          <w:b/>
          <w:bCs/>
          <w:i/>
          <w:iCs/>
          <w:sz w:val="22"/>
          <w:szCs w:val="22"/>
          <w:lang w:eastAsia="ar-SA"/>
        </w:rPr>
        <w:t>4. Сроки и порядок поставки оборудования</w:t>
      </w:r>
    </w:p>
    <w:p w:rsidR="00401B45" w:rsidRDefault="00C430C4">
      <w:pPr>
        <w:suppressAutoHyphens/>
        <w:spacing w:after="60"/>
        <w:jc w:val="both"/>
        <w:rPr>
          <w:b/>
          <w:bCs/>
          <w:i/>
          <w:iCs/>
        </w:rPr>
      </w:pPr>
      <w:r>
        <w:rPr>
          <w:b/>
          <w:bCs/>
          <w:i/>
          <w:iCs/>
          <w:sz w:val="22"/>
          <w:szCs w:val="22"/>
          <w:lang w:eastAsia="ar-SA"/>
        </w:rPr>
        <w:tab/>
      </w:r>
      <w:bookmarkStart w:id="0" w:name="_GoBack"/>
      <w:bookmarkEnd w:id="0"/>
    </w:p>
    <w:p w:rsidR="00401B45" w:rsidRDefault="00C430C4">
      <w:pPr>
        <w:widowControl w:val="0"/>
        <w:suppressAutoHyphens/>
        <w:ind w:firstLine="426"/>
        <w:contextualSpacing/>
        <w:jc w:val="both"/>
        <w:outlineLvl w:val="0"/>
        <w:rPr>
          <w:b/>
          <w:bCs/>
          <w:i/>
          <w:iCs/>
        </w:rPr>
      </w:pPr>
      <w:r>
        <w:rPr>
          <w:rFonts w:eastAsia="Calibri"/>
          <w:b/>
          <w:bCs/>
          <w:i/>
          <w:iCs/>
          <w:color w:val="000000"/>
          <w:sz w:val="22"/>
          <w:szCs w:val="22"/>
          <w:lang w:eastAsia="ar-SA"/>
        </w:rPr>
        <w:t xml:space="preserve">4.2. </w:t>
      </w:r>
      <w:r>
        <w:rPr>
          <w:rFonts w:eastAsia="Calibri"/>
          <w:b/>
          <w:bCs/>
          <w:i/>
          <w:iCs/>
          <w:color w:val="000000"/>
          <w:sz w:val="22"/>
          <w:szCs w:val="22"/>
          <w:lang w:eastAsia="en-US"/>
        </w:rPr>
        <w:t>Поставка оборудования осуществляется в течение 11 месяцев с момента заключения договора.</w:t>
      </w:r>
    </w:p>
    <w:p w:rsidR="00401B45" w:rsidRPr="00C430C4" w:rsidRDefault="00C430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 xml:space="preserve">    </w:t>
      </w:r>
    </w:p>
    <w:p w:rsidR="00401B45" w:rsidRDefault="00C430C4">
      <w:pPr>
        <w:spacing w:line="276" w:lineRule="auto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b/>
          <w:sz w:val="24"/>
          <w:szCs w:val="24"/>
        </w:rPr>
        <w:t xml:space="preserve">Эквивалент допустим в соответствии с п. 10.3.7 (1) </w:t>
      </w:r>
      <w:r>
        <w:rPr>
          <w:rFonts w:eastAsia="Times New Roman"/>
          <w:b/>
          <w:sz w:val="24"/>
          <w:szCs w:val="24"/>
        </w:rPr>
        <w:t>ЕПОЗ ГК «</w:t>
      </w:r>
      <w:proofErr w:type="spellStart"/>
      <w:r>
        <w:rPr>
          <w:rFonts w:eastAsia="Times New Roman"/>
          <w:b/>
          <w:sz w:val="24"/>
          <w:szCs w:val="24"/>
        </w:rPr>
        <w:t>Ростех</w:t>
      </w:r>
      <w:proofErr w:type="spellEnd"/>
      <w:r>
        <w:rPr>
          <w:rFonts w:eastAsia="Times New Roman"/>
          <w:b/>
          <w:sz w:val="24"/>
          <w:szCs w:val="24"/>
        </w:rPr>
        <w:t>» при условии соответствия товара тех. требованиям ТЗ.</w:t>
      </w:r>
    </w:p>
    <w:p w:rsidR="00401B45" w:rsidRDefault="00C430C4">
      <w:pPr>
        <w:jc w:val="both"/>
        <w:textAlignment w:val="baseline"/>
        <w:rPr>
          <w:rFonts w:eastAsia="SimSun"/>
          <w:kern w:val="2"/>
          <w:sz w:val="24"/>
          <w:szCs w:val="24"/>
          <w:u w:val="single"/>
          <w:lang w:eastAsia="zh-CN" w:bidi="hi-IN"/>
        </w:rPr>
      </w:pPr>
      <w:r>
        <w:rPr>
          <w:rFonts w:eastAsia="SimSun"/>
          <w:kern w:val="2"/>
          <w:sz w:val="24"/>
          <w:szCs w:val="24"/>
          <w:u w:val="single"/>
          <w:lang w:eastAsia="zh-CN" w:bidi="hi-IN"/>
        </w:rPr>
        <w:t>Наименование и область применения</w:t>
      </w:r>
    </w:p>
    <w:p w:rsidR="00401B45" w:rsidRDefault="00C430C4">
      <w:pPr>
        <w:jc w:val="both"/>
        <w:textAlignment w:val="baseline"/>
        <w:rPr>
          <w:rFonts w:eastAsia="SimSun"/>
          <w:kern w:val="2"/>
          <w:sz w:val="24"/>
          <w:szCs w:val="24"/>
          <w:lang w:eastAsia="zh-CN" w:bidi="hi-IN"/>
        </w:rPr>
      </w:pPr>
      <w:r>
        <w:rPr>
          <w:rFonts w:eastAsia="SimSun"/>
          <w:kern w:val="2"/>
          <w:sz w:val="24"/>
          <w:szCs w:val="24"/>
          <w:lang w:eastAsia="zh-CN" w:bidi="hi-IN"/>
        </w:rPr>
        <w:t>Спирали применяются для изготовления приборов электронной техники (ЛБВ).</w:t>
      </w:r>
    </w:p>
    <w:p w:rsidR="00401B45" w:rsidRDefault="00C430C4">
      <w:pPr>
        <w:jc w:val="both"/>
        <w:textAlignment w:val="baseline"/>
        <w:rPr>
          <w:rFonts w:eastAsia="SimSun"/>
          <w:kern w:val="2"/>
          <w:sz w:val="24"/>
          <w:szCs w:val="24"/>
          <w:u w:val="single"/>
          <w:lang w:eastAsia="zh-CN" w:bidi="hi-IN"/>
        </w:rPr>
      </w:pPr>
      <w:r>
        <w:rPr>
          <w:rFonts w:eastAsia="SimSun"/>
          <w:kern w:val="2"/>
          <w:sz w:val="24"/>
          <w:szCs w:val="24"/>
          <w:lang w:eastAsia="zh-CN" w:bidi="hi-IN"/>
        </w:rPr>
        <w:t xml:space="preserve">    </w:t>
      </w:r>
      <w:r>
        <w:rPr>
          <w:rFonts w:eastAsia="SimSun"/>
          <w:kern w:val="2"/>
          <w:sz w:val="24"/>
          <w:szCs w:val="24"/>
          <w:u w:val="single"/>
          <w:lang w:eastAsia="zh-CN" w:bidi="hi-IN"/>
        </w:rPr>
        <w:t>Цель и назначение разработки</w:t>
      </w:r>
    </w:p>
    <w:p w:rsidR="00401B45" w:rsidRDefault="00C430C4">
      <w:pPr>
        <w:jc w:val="both"/>
        <w:textAlignment w:val="baseline"/>
        <w:rPr>
          <w:rFonts w:eastAsia="SimSun"/>
          <w:kern w:val="2"/>
          <w:sz w:val="24"/>
          <w:szCs w:val="24"/>
          <w:lang w:eastAsia="zh-CN" w:bidi="hi-IN"/>
        </w:rPr>
      </w:pPr>
      <w:r>
        <w:rPr>
          <w:rFonts w:eastAsia="SimSun"/>
          <w:kern w:val="2"/>
          <w:sz w:val="24"/>
          <w:szCs w:val="24"/>
          <w:lang w:eastAsia="zh-CN" w:bidi="hi-IN"/>
        </w:rPr>
        <w:t>Должен быть поставлен станок для выполнения пр</w:t>
      </w:r>
      <w:r>
        <w:rPr>
          <w:rFonts w:eastAsia="SimSun"/>
          <w:kern w:val="2"/>
          <w:sz w:val="24"/>
          <w:szCs w:val="24"/>
          <w:lang w:eastAsia="zh-CN" w:bidi="hi-IN"/>
        </w:rPr>
        <w:t xml:space="preserve">ецизионной навивки на стержне (керне) спиралей из магт-0,2 (сплав на основе меди), молибденовой или вольфрамовой плющеной </w:t>
      </w:r>
      <w:proofErr w:type="spellStart"/>
      <w:r>
        <w:rPr>
          <w:rFonts w:eastAsia="SimSun"/>
          <w:kern w:val="2"/>
          <w:sz w:val="24"/>
          <w:szCs w:val="24"/>
          <w:lang w:eastAsia="zh-CN" w:bidi="hi-IN"/>
        </w:rPr>
        <w:t>микроленты</w:t>
      </w:r>
      <w:proofErr w:type="spellEnd"/>
      <w:r>
        <w:rPr>
          <w:rFonts w:eastAsia="SimSun"/>
          <w:kern w:val="2"/>
          <w:sz w:val="24"/>
          <w:szCs w:val="24"/>
          <w:lang w:eastAsia="zh-CN" w:bidi="hi-IN"/>
        </w:rPr>
        <w:t xml:space="preserve"> или проволоки. Спираль может состоять из комбинации участков  с постоянным шагом, участков с линейным нарастанием шага (нар</w:t>
      </w:r>
      <w:r>
        <w:rPr>
          <w:rFonts w:eastAsia="SimSun"/>
          <w:kern w:val="2"/>
          <w:sz w:val="24"/>
          <w:szCs w:val="24"/>
          <w:lang w:eastAsia="zh-CN" w:bidi="hi-IN"/>
        </w:rPr>
        <w:t>астание одинаковое на каждом шаге) или участков с линейным убыванием. Участки могут состоять из единичных шагов (в том числе неполных),  не подчиняющиеся законам постоянства и линейного изменения.</w:t>
      </w:r>
    </w:p>
    <w:p w:rsidR="00401B45" w:rsidRDefault="00401B45">
      <w:pPr>
        <w:jc w:val="both"/>
        <w:textAlignment w:val="baseline"/>
        <w:rPr>
          <w:rFonts w:eastAsia="SimSun"/>
          <w:kern w:val="2"/>
          <w:sz w:val="24"/>
          <w:szCs w:val="24"/>
          <w:lang w:eastAsia="zh-CN" w:bidi="hi-IN"/>
        </w:rPr>
      </w:pPr>
    </w:p>
    <w:p w:rsidR="00401B45" w:rsidRDefault="00C430C4">
      <w:pPr>
        <w:spacing w:line="276" w:lineRule="auto"/>
        <w:rPr>
          <w:rFonts w:eastAsia="Times New Roman"/>
          <w:b/>
          <w:sz w:val="24"/>
          <w:szCs w:val="24"/>
          <w:u w:val="single"/>
        </w:rPr>
      </w:pPr>
      <w:r>
        <w:rPr>
          <w:rFonts w:eastAsia="Times New Roman"/>
          <w:b/>
          <w:sz w:val="24"/>
          <w:szCs w:val="24"/>
          <w:u w:val="single"/>
        </w:rPr>
        <w:t>Технические характеристики:</w:t>
      </w:r>
    </w:p>
    <w:tbl>
      <w:tblPr>
        <w:tblStyle w:val="41"/>
        <w:tblW w:w="9770" w:type="dxa"/>
        <w:tblInd w:w="142" w:type="dxa"/>
        <w:tblLook w:val="04A0" w:firstRow="1" w:lastRow="0" w:firstColumn="1" w:lastColumn="0" w:noHBand="0" w:noVBand="1"/>
      </w:tblPr>
      <w:tblGrid>
        <w:gridCol w:w="4904"/>
        <w:gridCol w:w="4866"/>
      </w:tblGrid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Длина навиваемой спирали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до 300  мм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Направление навивки 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Правое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Навиваемая проволока:</w:t>
            </w:r>
          </w:p>
        </w:tc>
        <w:tc>
          <w:tcPr>
            <w:tcW w:w="4866" w:type="dxa"/>
            <w:shd w:val="clear" w:color="auto" w:fill="auto"/>
          </w:tcPr>
          <w:p w:rsidR="00401B45" w:rsidRDefault="00401B45">
            <w:pPr>
              <w:ind w:left="720"/>
              <w:contextualSpacing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           Круглая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Ø от 0,06 до 0,5 мм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Прямоугольная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0,05х0,1 до 0,35х0,6 мм</w:t>
            </w:r>
          </w:p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0,1х0,05 до 0,6х0,35 мм (т.е. на ребре)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Внутренний диаметр спирали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0,3 до 3,0 мм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Шаг навиваемой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спирали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0,05 до 2 мм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Дискретность назначения и изменения шага спирали при навивке</w:t>
            </w:r>
          </w:p>
        </w:tc>
        <w:tc>
          <w:tcPr>
            <w:tcW w:w="4866" w:type="dxa"/>
            <w:shd w:val="clear" w:color="auto" w:fill="auto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0,1 мкм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Точность среднего шага на участке постоянного шага длиной не менее 20 шагов, не хуже*</w:t>
            </w:r>
          </w:p>
        </w:tc>
        <w:tc>
          <w:tcPr>
            <w:tcW w:w="4866" w:type="dxa"/>
            <w:shd w:val="clear" w:color="auto" w:fill="auto"/>
            <w:vAlign w:val="center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0,2 мкм</w:t>
            </w:r>
          </w:p>
        </w:tc>
      </w:tr>
      <w:tr w:rsidR="00401B45">
        <w:trPr>
          <w:trHeight w:val="483"/>
        </w:trPr>
        <w:tc>
          <w:tcPr>
            <w:tcW w:w="4903" w:type="dxa"/>
            <w:shd w:val="clear" w:color="auto" w:fill="auto"/>
          </w:tcPr>
          <w:p w:rsidR="00401B45" w:rsidRDefault="00C430C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Отклонение значения любого шага от номинала на навитой и снятой с 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керна спирали из прямоугольной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плющенки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</w:rPr>
              <w:t xml:space="preserve"> на участках как с постоянным, так и с переменным шагом, не более**</w:t>
            </w:r>
          </w:p>
        </w:tc>
        <w:tc>
          <w:tcPr>
            <w:tcW w:w="4866" w:type="dxa"/>
            <w:shd w:val="clear" w:color="auto" w:fill="auto"/>
            <w:vAlign w:val="center"/>
          </w:tcPr>
          <w:p w:rsidR="00401B45" w:rsidRDefault="00C430C4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1,5 мкм</w:t>
            </w:r>
          </w:p>
        </w:tc>
      </w:tr>
    </w:tbl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*Проверяется на спирали на керне, до технологических процедур формовочного отжига и снятия с керна.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**Проверяется на спирали, снятой с керна</w:t>
      </w:r>
      <w:r>
        <w:rPr>
          <w:rFonts w:eastAsia="Calibri"/>
          <w:color w:val="000000"/>
          <w:sz w:val="24"/>
          <w:szCs w:val="24"/>
          <w:lang w:eastAsia="en-US"/>
        </w:rPr>
        <w:t xml:space="preserve">. Поскольку формовочный отжиг и снятие с керна могут изменять средний шаг, понимается как отклонение индивидуального шага от фактического среднего шага на участке.  Для измерения данного параметра на участках с переменным шагом </w:t>
      </w:r>
      <w:r>
        <w:rPr>
          <w:rFonts w:eastAsia="Calibri"/>
          <w:color w:val="000000"/>
          <w:sz w:val="24"/>
          <w:szCs w:val="24"/>
          <w:lang w:eastAsia="en-US"/>
        </w:rPr>
        <w:lastRenderedPageBreak/>
        <w:t>установка измерения должна б</w:t>
      </w:r>
      <w:r>
        <w:rPr>
          <w:rFonts w:eastAsia="Calibri"/>
          <w:color w:val="000000"/>
          <w:sz w:val="24"/>
          <w:szCs w:val="24"/>
          <w:lang w:eastAsia="en-US"/>
        </w:rPr>
        <w:t>ыть обеспечена возможностью виртуального азимутального поворота спирали.</w:t>
      </w:r>
    </w:p>
    <w:p w:rsidR="00401B45" w:rsidRDefault="00C430C4">
      <w:pPr>
        <w:ind w:left="709" w:hanging="567"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b/>
          <w:color w:val="000000"/>
          <w:sz w:val="24"/>
          <w:szCs w:val="24"/>
          <w:u w:val="single"/>
          <w:lang w:eastAsia="en-US"/>
        </w:rPr>
        <w:t>Технические требования к процессу навивки спиралей.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состоит из оптико-механической части и системы управления и настройки с программным обеспечением.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Станина должна </w:t>
      </w:r>
      <w:r>
        <w:rPr>
          <w:rFonts w:eastAsia="Calibri"/>
          <w:color w:val="000000"/>
          <w:sz w:val="24"/>
          <w:szCs w:val="24"/>
          <w:lang w:eastAsia="en-US"/>
        </w:rPr>
        <w:t>представлять собой коробчатую конструкцию, с двумя суппортами и двумя шпинделями (при навивке шпиндели должны работать синхронно).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Шпиндели должны иметь кулачковые и цанговые захваты.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Конструкция регулируемого суппорта должна обеспечивать удобное натяжение</w:t>
      </w:r>
      <w:r>
        <w:rPr>
          <w:rFonts w:eastAsia="Calibri"/>
          <w:color w:val="000000"/>
          <w:sz w:val="24"/>
          <w:szCs w:val="24"/>
          <w:lang w:eastAsia="en-US"/>
        </w:rPr>
        <w:t xml:space="preserve"> керна.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натяжения проволоки, обеспечивающей заданное равномерное натяжение без рывков на любой скорости подачи проволоки (вплоть до остановки).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Станок должен быть обеспечен системой стабильной укладки проволоки (как плашмя, так и на ребро) на керн с: </w:t>
      </w:r>
    </w:p>
    <w:p w:rsidR="00401B45" w:rsidRDefault="00C430C4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возможным применением керамических деталей для уменьшения износа;</w:t>
      </w:r>
    </w:p>
    <w:p w:rsidR="00401B45" w:rsidRDefault="00C430C4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минимизацией повреждения керна и проволоки узлами укладчика;</w:t>
      </w:r>
    </w:p>
    <w:p w:rsidR="00401B45" w:rsidRDefault="00C430C4">
      <w:pPr>
        <w:numPr>
          <w:ilvl w:val="0"/>
          <w:numId w:val="4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недопущением попадани</w:t>
      </w:r>
      <w:r>
        <w:rPr>
          <w:rFonts w:eastAsia="Calibri"/>
          <w:color w:val="000000"/>
          <w:sz w:val="24"/>
          <w:szCs w:val="24"/>
          <w:lang w:eastAsia="en-US"/>
        </w:rPr>
        <w:t>я проволоки под укладчик на участках плотной навивки.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предварительной настройки угла поворота укладчика, выполняемой оператором в диапазоне от 0 до ± 30º. Дополнительно должно быть устранена возможность попадания прово</w:t>
      </w:r>
      <w:r>
        <w:rPr>
          <w:rFonts w:eastAsia="Calibri"/>
          <w:color w:val="000000"/>
          <w:sz w:val="24"/>
          <w:szCs w:val="24"/>
          <w:lang w:eastAsia="en-US"/>
        </w:rPr>
        <w:t>локи под укладчик на участках плотной навивки.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Скорость навивки должна регулироваться от 0 до 200 об/мин.</w:t>
      </w:r>
    </w:p>
    <w:p w:rsidR="00401B45" w:rsidRDefault="00C430C4">
      <w:pPr>
        <w:ind w:left="142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Пульт управления станком (инициализация, пуск, стоп) должен находиться вблизи рабочей зоны станка.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бесконтактног</w:t>
      </w:r>
      <w:r>
        <w:rPr>
          <w:rFonts w:eastAsia="Calibri"/>
          <w:color w:val="000000"/>
          <w:sz w:val="24"/>
          <w:szCs w:val="24"/>
          <w:lang w:eastAsia="en-US"/>
        </w:rPr>
        <w:t>о  регулируемого нагрева навиваемого  материала от 0 до 900ºС в зоне его укладке на керн.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должен быть оснащен лазерным интерферометром, обеспечивающим измерение координат каретки при любой скорости движения (вплоть до остановки), для точного исполне</w:t>
      </w:r>
      <w:r>
        <w:rPr>
          <w:rFonts w:eastAsia="Calibri"/>
          <w:color w:val="000000"/>
          <w:sz w:val="24"/>
          <w:szCs w:val="24"/>
          <w:lang w:eastAsia="en-US"/>
        </w:rPr>
        <w:t>ния спирали по шагу.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видеонаблюдения за местом укладки проволоки в процессе навивки (с изменением направления наблюдения и фокуса). Монитор видеонаблюдения должен находиться вблизи рабочей зоны станка.</w:t>
      </w:r>
    </w:p>
    <w:p w:rsidR="00401B45" w:rsidRDefault="00C430C4">
      <w:pPr>
        <w:tabs>
          <w:tab w:val="left" w:pos="709"/>
        </w:tabs>
        <w:ind w:left="142" w:firstLine="567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Для создания ста</w:t>
      </w:r>
      <w:r>
        <w:rPr>
          <w:rFonts w:eastAsia="Calibri"/>
          <w:color w:val="000000"/>
          <w:sz w:val="24"/>
          <w:szCs w:val="24"/>
          <w:lang w:eastAsia="en-US"/>
        </w:rPr>
        <w:t>нка должна использоваться современная база электроники и оптики, соответствующая всем требованиям безопасности и стандартам.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Установленное и разработанное ПО должно быть выполнено в соответствие с постановлением Правительства РФ от 16 ноября 2015г. №1236 о</w:t>
      </w:r>
      <w:r>
        <w:rPr>
          <w:rFonts w:eastAsia="Calibri"/>
          <w:color w:val="000000"/>
          <w:sz w:val="24"/>
          <w:szCs w:val="24"/>
          <w:lang w:eastAsia="en-US"/>
        </w:rPr>
        <w:t xml:space="preserve">  пользовательских и лицензионных соглашениях.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В ПО должна быть функция самодиагностики систем станка, обеспечивающих точность навивки, с остановкой процесса при обнаружении нарушения. Также ПО должно обеспечивать возможность проведения диагностики станка </w:t>
      </w:r>
      <w:r>
        <w:rPr>
          <w:rFonts w:eastAsia="Calibri"/>
          <w:color w:val="000000"/>
          <w:sz w:val="24"/>
          <w:szCs w:val="24"/>
          <w:lang w:eastAsia="en-US"/>
        </w:rPr>
        <w:t>для выявления проблемных участков в узлах или электронной части станка.</w:t>
      </w:r>
    </w:p>
    <w:p w:rsidR="00401B45" w:rsidRDefault="00C430C4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ПО должно обеспечивать: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- создание, изменение данных по настройке  станка для конкретной партии спиралей с возможностью их сохранения как в базе данных компьютера, так и на </w:t>
      </w:r>
      <w:proofErr w:type="spellStart"/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флеш</w:t>
      </w:r>
      <w:proofErr w:type="spellEnd"/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</w:t>
      </w:r>
      <w:r>
        <w:rPr>
          <w:rFonts w:eastAsia="Calibri"/>
          <w:bCs/>
          <w:color w:val="000000"/>
          <w:sz w:val="24"/>
          <w:szCs w:val="24"/>
          <w:shd w:val="clear" w:color="auto" w:fill="FFFFFF"/>
          <w:lang w:eastAsia="en-US"/>
        </w:rPr>
        <w:t>накопи</w:t>
      </w:r>
      <w:r>
        <w:rPr>
          <w:rFonts w:eastAsia="Calibri"/>
          <w:bCs/>
          <w:color w:val="000000"/>
          <w:sz w:val="24"/>
          <w:szCs w:val="24"/>
          <w:shd w:val="clear" w:color="auto" w:fill="FFFFFF"/>
          <w:lang w:eastAsia="en-US"/>
        </w:rPr>
        <w:t>теле;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автоматическую привязку (начальную установку) координат перед началом работы;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исполнение указанной управляющей программы (навивку спирали в соответствии с текстом УП);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ручное (с клавиатуры компьютера) управление приводами: задание направления,</w:t>
      </w:r>
      <w:r>
        <w:rPr>
          <w:rFonts w:eastAsia="Calibri"/>
          <w:color w:val="000000"/>
          <w:sz w:val="24"/>
          <w:szCs w:val="24"/>
          <w:lang w:eastAsia="en-US"/>
        </w:rPr>
        <w:t xml:space="preserve"> скорости и ускорения каретки или шпинделя;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 расчет угла установки укладчика проволоки;</w:t>
      </w:r>
    </w:p>
    <w:p w:rsidR="00401B45" w:rsidRDefault="00C430C4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контроль управляющей программы на наличие синтаксических ошибок без исполнения программы;</w:t>
      </w:r>
    </w:p>
    <w:p w:rsidR="00401B45" w:rsidRDefault="00C430C4">
      <w:pPr>
        <w:ind w:firstLine="284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 наличие вспомогательных функций, которые облегчают проверку и настрой</w:t>
      </w:r>
      <w:r>
        <w:rPr>
          <w:rFonts w:eastAsia="Times New Roman"/>
          <w:color w:val="000000"/>
          <w:sz w:val="24"/>
          <w:szCs w:val="24"/>
        </w:rPr>
        <w:t>ку            оборудования.</w:t>
      </w:r>
    </w:p>
    <w:p w:rsidR="00401B45" w:rsidRDefault="00C430C4">
      <w:pPr>
        <w:ind w:firstLine="284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Станок должен быть оснащен </w:t>
      </w:r>
      <w:proofErr w:type="spellStart"/>
      <w:r>
        <w:rPr>
          <w:rFonts w:eastAsia="Times New Roman"/>
          <w:color w:val="000000"/>
          <w:sz w:val="24"/>
          <w:szCs w:val="24"/>
        </w:rPr>
        <w:t>виброопорами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с целью развязки от внешней вибрации, которые могут оказывать негативное влияние на точность исполнения шага при навивке спиралей.</w:t>
      </w:r>
    </w:p>
    <w:p w:rsidR="00401B45" w:rsidRDefault="00C430C4">
      <w:pPr>
        <w:ind w:firstLine="284"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Узлы и электронные модули должны обеспечивать повышенную </w:t>
      </w:r>
      <w:r>
        <w:rPr>
          <w:rFonts w:eastAsia="Calibri"/>
          <w:color w:val="000000"/>
          <w:sz w:val="24"/>
          <w:szCs w:val="24"/>
          <w:lang w:eastAsia="en-US"/>
        </w:rPr>
        <w:t>надежность и многолетнюю работоспособность станка.</w:t>
      </w:r>
    </w:p>
    <w:p w:rsidR="00401B45" w:rsidRDefault="00C430C4">
      <w:pPr>
        <w:ind w:left="567" w:hanging="425"/>
        <w:rPr>
          <w:rFonts w:eastAsia="Times New Roman"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</w:rPr>
        <w:t xml:space="preserve">  </w:t>
      </w:r>
      <w:r>
        <w:rPr>
          <w:rFonts w:eastAsia="Times New Roman"/>
          <w:b/>
          <w:color w:val="000000"/>
          <w:sz w:val="24"/>
          <w:szCs w:val="24"/>
          <w:u w:val="single"/>
        </w:rPr>
        <w:t xml:space="preserve">Режим работы </w:t>
      </w:r>
    </w:p>
    <w:p w:rsidR="00401B45" w:rsidRDefault="00C430C4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12-ти часовой бесперебойный работы.</w:t>
      </w:r>
    </w:p>
    <w:p w:rsidR="00401B45" w:rsidRDefault="00C430C4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температурный режим 21(+10;-5)º С.</w:t>
      </w:r>
    </w:p>
    <w:p w:rsidR="00401B45" w:rsidRDefault="00C430C4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 электропитание переменным током 380/220 В, частота 50Гц.</w:t>
      </w:r>
    </w:p>
    <w:p w:rsidR="00401B45" w:rsidRDefault="00C430C4">
      <w:pPr>
        <w:spacing w:beforeAutospacing="1"/>
        <w:rPr>
          <w:rFonts w:eastAsia="Times New Roman"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   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  <w:t>Требования безопасности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Приводы исполнительных органов </w:t>
      </w:r>
      <w:r>
        <w:rPr>
          <w:rFonts w:eastAsia="Times New Roman"/>
          <w:color w:val="000000"/>
          <w:sz w:val="24"/>
          <w:szCs w:val="24"/>
        </w:rPr>
        <w:t>станка</w:t>
      </w: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должны иметь функцию защиты рабочего органа станка от перегрузки, способной предотвращать поломку оборудования.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 конструкции станка должны быть предусмотрены физические устройства, исключающие перебеги рабочих органов</w:t>
      </w:r>
      <w:r>
        <w:rPr>
          <w:rFonts w:eastAsia="Times New Roman"/>
          <w:color w:val="000000"/>
          <w:sz w:val="24"/>
          <w:szCs w:val="24"/>
        </w:rPr>
        <w:t xml:space="preserve"> за пределы допускаемых положений.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 конструкции станка должны быть предусмотрены устройства, исключающие самопроизвольное включение и (или) перемещение механизмов. </w:t>
      </w:r>
      <w:r>
        <w:rPr>
          <w:rFonts w:eastAsia="Times New Roman"/>
          <w:color w:val="000000"/>
          <w:sz w:val="24"/>
          <w:szCs w:val="24"/>
        </w:rPr>
        <w:br/>
        <w:t xml:space="preserve">      Поставляемый станок должен соответствовать следующим требованиям: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12.2.003-91</w:t>
      </w:r>
      <w:r>
        <w:rPr>
          <w:rFonts w:eastAsia="Times New Roman"/>
          <w:color w:val="000000"/>
          <w:sz w:val="24"/>
          <w:szCs w:val="24"/>
        </w:rPr>
        <w:t>. «ССБТ. Оборудование производственное. Общие требования безопасности»;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12.2.061-81. «ССБТ. Оборудование производственное. Общие требования безопасности к рабочим местам»;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12.2.062-81. «ССБТ. Оборудование производственное. Ограждения защитные</w:t>
      </w:r>
      <w:r>
        <w:rPr>
          <w:rFonts w:eastAsia="Times New Roman"/>
          <w:color w:val="000000"/>
          <w:sz w:val="24"/>
          <w:szCs w:val="24"/>
        </w:rPr>
        <w:t>»;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ГОСТ 12.1030-81. «ССБТ. Электробезопасность. Защитное заземление, </w:t>
      </w:r>
      <w:proofErr w:type="spellStart"/>
      <w:r>
        <w:rPr>
          <w:rFonts w:eastAsia="Times New Roman"/>
          <w:color w:val="000000"/>
          <w:sz w:val="24"/>
          <w:szCs w:val="24"/>
        </w:rPr>
        <w:t>зануление</w:t>
      </w:r>
      <w:proofErr w:type="spellEnd"/>
      <w:r>
        <w:rPr>
          <w:rFonts w:eastAsia="Times New Roman"/>
          <w:color w:val="000000"/>
          <w:sz w:val="24"/>
          <w:szCs w:val="24"/>
        </w:rPr>
        <w:t>»;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 изготовлении, монтаже, наладке и эксплуатации станка должны соблюдаться требования: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 уровни звукового давления не должны превышать допустимых значений, установленных Г</w:t>
      </w:r>
      <w:r>
        <w:rPr>
          <w:rFonts w:eastAsia="Times New Roman"/>
          <w:color w:val="000000"/>
          <w:sz w:val="24"/>
          <w:szCs w:val="24"/>
        </w:rPr>
        <w:t>ОСТ 12.1.003-83 «ССБТ. Шум. Общие требования безопасности»;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  величины общей технологической вибрации на постоянных рабочих местах не должны превышать гигиенических норм, установленных ГОСТ 12.1.012-90. «ССБТ. Вибрационная безопасность. Общие требования»</w:t>
      </w:r>
      <w:r>
        <w:rPr>
          <w:rFonts w:eastAsia="Times New Roman"/>
          <w:color w:val="000000"/>
          <w:sz w:val="24"/>
          <w:szCs w:val="24"/>
        </w:rPr>
        <w:t>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требования пожарной безопасности станка должны соответствовать  ГОСТ 12.1.004-91.</w:t>
      </w:r>
    </w:p>
    <w:p w:rsidR="00401B45" w:rsidRDefault="00C430C4">
      <w:pPr>
        <w:ind w:left="567" w:hanging="425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  <w:u w:val="single"/>
        </w:rPr>
        <w:t xml:space="preserve">Комплект поставки 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 комплект поставки входят:</w:t>
      </w:r>
    </w:p>
    <w:p w:rsidR="00401B45" w:rsidRDefault="00C430C4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станок;</w:t>
      </w:r>
    </w:p>
    <w:p w:rsidR="00401B45" w:rsidRDefault="00C430C4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исходная версия ПО в компьютерной базе и на </w:t>
      </w:r>
      <w:proofErr w:type="spellStart"/>
      <w:r>
        <w:rPr>
          <w:rFonts w:eastAsia="Calibri"/>
          <w:color w:val="000000"/>
          <w:sz w:val="24"/>
          <w:szCs w:val="24"/>
          <w:lang w:eastAsia="en-US"/>
        </w:rPr>
        <w:t>флеш</w:t>
      </w:r>
      <w:proofErr w:type="spellEnd"/>
      <w:r>
        <w:rPr>
          <w:rFonts w:eastAsia="Calibri"/>
          <w:color w:val="000000"/>
          <w:sz w:val="24"/>
          <w:szCs w:val="24"/>
          <w:lang w:eastAsia="en-US"/>
        </w:rPr>
        <w:t>-накопителе;</w:t>
      </w:r>
    </w:p>
    <w:p w:rsidR="00401B45" w:rsidRDefault="00C430C4">
      <w:pPr>
        <w:numPr>
          <w:ilvl w:val="0"/>
          <w:numId w:val="2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комплект эксплуатационных документов.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В комплект </w:t>
      </w:r>
      <w:r>
        <w:rPr>
          <w:rFonts w:eastAsia="Times New Roman"/>
          <w:color w:val="000000"/>
          <w:sz w:val="24"/>
          <w:szCs w:val="24"/>
        </w:rPr>
        <w:t>эксплуатационных документов в соответствие с ГОСТ 2.601-2013входят:</w:t>
      </w:r>
    </w:p>
    <w:p w:rsidR="00401B45" w:rsidRDefault="00C430C4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паспорт;</w:t>
      </w:r>
    </w:p>
    <w:p w:rsidR="00401B45" w:rsidRDefault="00C430C4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инструкция по эксплуатации;</w:t>
      </w:r>
    </w:p>
    <w:p w:rsidR="00401B45" w:rsidRDefault="00C430C4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комплект чертежей (принципиальная электрическая схема установки, поблочные электрические схемы, кинематическая схема станка с поузловыми чертежами меха</w:t>
      </w:r>
      <w:r>
        <w:rPr>
          <w:rFonts w:eastAsia="Calibri"/>
          <w:color w:val="000000"/>
          <w:sz w:val="24"/>
          <w:szCs w:val="24"/>
          <w:lang w:eastAsia="en-US"/>
        </w:rPr>
        <w:t>низмов и сменных и быстроизнашивающихся деталей);</w:t>
      </w:r>
    </w:p>
    <w:p w:rsidR="00401B45" w:rsidRDefault="00C430C4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методика проверки технологической точности установки в процессе эксплуатации.</w:t>
      </w:r>
    </w:p>
    <w:p w:rsidR="00401B45" w:rsidRDefault="00C430C4">
      <w:pPr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Изготовленный станок не должен содержать узлов, деталей, комплектующих и др., бывших в употреблении.</w:t>
      </w:r>
    </w:p>
    <w:p w:rsidR="00401B45" w:rsidRDefault="00C430C4">
      <w:pPr>
        <w:ind w:firstLine="426"/>
        <w:contextualSpacing/>
      </w:pPr>
      <w:r>
        <w:rPr>
          <w:rFonts w:eastAsia="Calibri"/>
          <w:color w:val="000000"/>
          <w:sz w:val="24"/>
          <w:szCs w:val="24"/>
          <w:lang w:eastAsia="en-US"/>
        </w:rPr>
        <w:t>Настоящие технические требо</w:t>
      </w:r>
      <w:r>
        <w:rPr>
          <w:rFonts w:eastAsia="Calibri"/>
          <w:color w:val="000000"/>
          <w:sz w:val="24"/>
          <w:szCs w:val="24"/>
          <w:lang w:eastAsia="en-US"/>
        </w:rPr>
        <w:t>вания могут уточняться и корректироваться по согласованию сторон.</w:t>
      </w:r>
    </w:p>
    <w:p w:rsidR="00401B45" w:rsidRDefault="00401B45">
      <w:pPr>
        <w:suppressAutoHyphens/>
        <w:spacing w:line="360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</w:p>
    <w:p w:rsidR="00401B45" w:rsidRDefault="00401B45">
      <w:pPr>
        <w:suppressAutoHyphens/>
        <w:ind w:firstLine="426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401B45" w:rsidRDefault="00401B45">
      <w:pPr>
        <w:suppressAutoHyphens/>
        <w:ind w:firstLine="426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401B45" w:rsidRDefault="00C430C4">
      <w:pPr>
        <w:ind w:left="360"/>
        <w:rPr>
          <w:rFonts w:eastAsia="Times New Roman"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  <w:u w:val="single"/>
        </w:rPr>
        <w:t>Основные этапы выполнения работ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согласование технических требований с заказчиком по каждому пункту;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разработка рабочих чертежей;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корректировка рабочих чертежей;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lastRenderedPageBreak/>
        <w:t>- изготовление  стан</w:t>
      </w:r>
      <w:r>
        <w:rPr>
          <w:rFonts w:eastAsia="Times New Roman"/>
          <w:color w:val="000000"/>
          <w:sz w:val="24"/>
          <w:szCs w:val="24"/>
        </w:rPr>
        <w:t>ка  навивки спиралей;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проверка работоспособности станка на исполнение технических       характеристик согласно ТЗ на площадке производителя;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поставка станка;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пусконаладочные работы на площадке заказчика;</w:t>
      </w:r>
    </w:p>
    <w:p w:rsidR="00401B45" w:rsidRDefault="00C430C4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проверка работоспособности станка на исполнение технических характеристик согласно ТЗ на площадке заказчика (принимается комиссией, назначенной директором </w:t>
      </w:r>
      <w:r>
        <w:rPr>
          <w:rFonts w:eastAsia="Times New Roman"/>
          <w:color w:val="000000"/>
          <w:sz w:val="22"/>
          <w:szCs w:val="22"/>
        </w:rPr>
        <w:t>НПЦ «Электронные Системы» АО «НПП «Алмаз»)</w:t>
      </w:r>
      <w:r>
        <w:rPr>
          <w:rFonts w:eastAsia="Times New Roman"/>
          <w:color w:val="000000"/>
          <w:sz w:val="24"/>
          <w:szCs w:val="24"/>
        </w:rPr>
        <w:t>.</w:t>
      </w:r>
    </w:p>
    <w:p w:rsidR="00401B45" w:rsidRDefault="00C430C4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Товар должен принадлежать Поставщику на праве собст</w:t>
      </w:r>
      <w:r>
        <w:rPr>
          <w:rFonts w:eastAsia="Times New Roman"/>
          <w:sz w:val="24"/>
          <w:szCs w:val="24"/>
        </w:rPr>
        <w:t>венности, должен быть новым, не бывшим в употреблении, не восстановленным, не контрафактным, без дефектов материала и изготовления, не переделанным, не поврежденным, не ранее 2020 года выпуска, выпущенным к свободному обращению на территории Российской Фед</w:t>
      </w:r>
      <w:r>
        <w:rPr>
          <w:rFonts w:eastAsia="Times New Roman"/>
          <w:sz w:val="24"/>
          <w:szCs w:val="24"/>
        </w:rPr>
        <w:t xml:space="preserve">ерации без каких-либо ограничений (залог, запрет, арест, т.п.), не являться предметом спора третьих лиц. </w:t>
      </w:r>
    </w:p>
    <w:p w:rsidR="00401B45" w:rsidRDefault="00401B45">
      <w:pPr>
        <w:spacing w:line="276" w:lineRule="auto"/>
      </w:pPr>
    </w:p>
    <w:sectPr w:rsidR="00401B45">
      <w:pgSz w:w="11906" w:h="16838"/>
      <w:pgMar w:top="1134" w:right="424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50143"/>
    <w:multiLevelType w:val="multilevel"/>
    <w:tmpl w:val="08DC4CE8"/>
    <w:lvl w:ilvl="0">
      <w:start w:val="1"/>
      <w:numFmt w:val="decimal"/>
      <w:pStyle w:val="1"/>
      <w:lvlText w:val="%1."/>
      <w:lvlJc w:val="left"/>
      <w:pPr>
        <w:tabs>
          <w:tab w:val="num" w:pos="1138"/>
        </w:tabs>
        <w:ind w:left="1138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3"/>
      <w:lvlText w:val="%1.%3."/>
      <w:lvlJc w:val="left"/>
      <w:pPr>
        <w:tabs>
          <w:tab w:val="num" w:pos="1997"/>
        </w:tabs>
        <w:ind w:left="1997" w:hanging="1997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  <w:em w:val="none"/>
      </w:rPr>
    </w:lvl>
    <w:lvl w:ilvl="3">
      <w:start w:val="1"/>
      <w:numFmt w:val="decimal"/>
      <w:pStyle w:val="4"/>
      <w:lvlText w:val="%1.%3.%4."/>
      <w:lvlJc w:val="left"/>
      <w:pPr>
        <w:tabs>
          <w:tab w:val="num" w:pos="11340"/>
        </w:tabs>
        <w:ind w:left="624" w:firstLine="113"/>
      </w:pPr>
      <w:rPr>
        <w:rFonts w:cs="Times New Roman"/>
        <w:b/>
        <w:bCs w:val="0"/>
        <w:i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0"/>
        <w:u w:val="none"/>
        <w:vertAlign w:val="baseline"/>
        <w:em w:val="none"/>
      </w:rPr>
    </w:lvl>
    <w:lvl w:ilvl="4">
      <w:start w:val="1"/>
      <w:numFmt w:val="decimal"/>
      <w:pStyle w:val="5"/>
      <w:lvlText w:val="%1.%3.%4.%5"/>
      <w:lvlJc w:val="left"/>
      <w:pPr>
        <w:tabs>
          <w:tab w:val="num" w:pos="1714"/>
        </w:tabs>
        <w:ind w:left="1714" w:hanging="1008"/>
      </w:pPr>
    </w:lvl>
    <w:lvl w:ilvl="5">
      <w:start w:val="1"/>
      <w:numFmt w:val="decimal"/>
      <w:pStyle w:val="6"/>
      <w:lvlText w:val="%1.%3.%4.%5.%6"/>
      <w:lvlJc w:val="left"/>
      <w:pPr>
        <w:tabs>
          <w:tab w:val="num" w:pos="1858"/>
        </w:tabs>
        <w:ind w:left="1858" w:hanging="1152"/>
      </w:pPr>
    </w:lvl>
    <w:lvl w:ilvl="6">
      <w:start w:val="1"/>
      <w:numFmt w:val="decimal"/>
      <w:pStyle w:val="7"/>
      <w:lvlText w:val="%1.%3.%4.%5.%6.%7"/>
      <w:lvlJc w:val="left"/>
      <w:pPr>
        <w:tabs>
          <w:tab w:val="num" w:pos="2002"/>
        </w:tabs>
        <w:ind w:left="2002" w:hanging="1296"/>
      </w:pPr>
    </w:lvl>
    <w:lvl w:ilvl="7">
      <w:start w:val="1"/>
      <w:numFmt w:val="decimal"/>
      <w:pStyle w:val="8"/>
      <w:lvlText w:val="%1.%3.%4.%5.%6.%7.%8"/>
      <w:lvlJc w:val="left"/>
      <w:pPr>
        <w:tabs>
          <w:tab w:val="num" w:pos="2146"/>
        </w:tabs>
        <w:ind w:left="2146" w:hanging="1440"/>
      </w:pPr>
    </w:lvl>
    <w:lvl w:ilvl="8">
      <w:start w:val="1"/>
      <w:numFmt w:val="decimal"/>
      <w:pStyle w:val="9"/>
      <w:lvlText w:val="%1.%3.%4.%5.%6.%7.%8.%9"/>
      <w:lvlJc w:val="left"/>
      <w:pPr>
        <w:tabs>
          <w:tab w:val="num" w:pos="2290"/>
        </w:tabs>
        <w:ind w:left="2290" w:hanging="1584"/>
      </w:pPr>
    </w:lvl>
  </w:abstractNum>
  <w:abstractNum w:abstractNumId="1" w15:restartNumberingAfterBreak="0">
    <w:nsid w:val="61EE3AF9"/>
    <w:multiLevelType w:val="multilevel"/>
    <w:tmpl w:val="5E96338C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4171A33"/>
    <w:multiLevelType w:val="multilevel"/>
    <w:tmpl w:val="BAB66FD2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2D65098"/>
    <w:multiLevelType w:val="multilevel"/>
    <w:tmpl w:val="4F7248C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45"/>
    <w:rsid w:val="00401B45"/>
    <w:rsid w:val="00C4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05A4"/>
  <w15:docId w15:val="{72D97075-9BFA-4362-824D-177B026B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940"/>
    <w:rPr>
      <w:rFonts w:ascii="Times New Roman" w:eastAsia="MS Mincho" w:hAnsi="Times New Roman" w:cs="Times New Roman"/>
      <w:szCs w:val="20"/>
      <w:lang w:eastAsia="ru-RU"/>
    </w:rPr>
  </w:style>
  <w:style w:type="paragraph" w:styleId="1">
    <w:name w:val="heading 1"/>
    <w:basedOn w:val="a"/>
    <w:link w:val="10"/>
    <w:qFormat/>
    <w:rsid w:val="00893A70"/>
    <w:pPr>
      <w:keepNext/>
      <w:keepLines/>
      <w:pageBreakBefore/>
      <w:numPr>
        <w:numId w:val="1"/>
      </w:numPr>
      <w:suppressAutoHyphens/>
      <w:spacing w:before="480" w:after="240"/>
      <w:outlineLvl w:val="0"/>
    </w:pPr>
    <w:rPr>
      <w:rFonts w:eastAsia="Batang"/>
      <w:b/>
      <w:bCs/>
      <w:caps/>
      <w:kern w:val="2"/>
      <w:sz w:val="32"/>
      <w:szCs w:val="32"/>
      <w:lang w:eastAsia="en-US"/>
    </w:rPr>
  </w:style>
  <w:style w:type="paragraph" w:styleId="2">
    <w:name w:val="heading 2"/>
    <w:basedOn w:val="a"/>
    <w:link w:val="20"/>
    <w:autoRedefine/>
    <w:qFormat/>
    <w:rsid w:val="0030236A"/>
    <w:pPr>
      <w:keepNext/>
      <w:shd w:val="clear" w:color="auto" w:fill="FFFFFF"/>
      <w:spacing w:after="60"/>
      <w:ind w:left="1287" w:hanging="578"/>
      <w:jc w:val="both"/>
      <w:outlineLvl w:val="1"/>
    </w:pPr>
    <w:rPr>
      <w:rFonts w:eastAsia="Batang"/>
      <w:b/>
      <w:iCs/>
      <w:color w:val="000000"/>
      <w:kern w:val="2"/>
      <w:sz w:val="24"/>
      <w:szCs w:val="30"/>
      <w:lang w:eastAsia="en-US"/>
    </w:rPr>
  </w:style>
  <w:style w:type="paragraph" w:styleId="3">
    <w:name w:val="heading 3"/>
    <w:basedOn w:val="1"/>
    <w:link w:val="30"/>
    <w:autoRedefine/>
    <w:qFormat/>
    <w:rsid w:val="00893A70"/>
    <w:pPr>
      <w:pageBreakBefore w:val="0"/>
      <w:numPr>
        <w:ilvl w:val="2"/>
      </w:numPr>
      <w:tabs>
        <w:tab w:val="left" w:pos="1560"/>
      </w:tabs>
      <w:spacing w:before="360"/>
      <w:ind w:left="2705" w:hanging="1996"/>
      <w:contextualSpacing/>
      <w:outlineLvl w:val="2"/>
    </w:pPr>
    <w:rPr>
      <w:bCs w:val="0"/>
      <w:caps w:val="0"/>
      <w:sz w:val="28"/>
      <w:szCs w:val="28"/>
    </w:rPr>
  </w:style>
  <w:style w:type="paragraph" w:styleId="4">
    <w:name w:val="heading 4"/>
    <w:basedOn w:val="1"/>
    <w:link w:val="40"/>
    <w:autoRedefine/>
    <w:uiPriority w:val="9"/>
    <w:qFormat/>
    <w:rsid w:val="00893A70"/>
    <w:pPr>
      <w:keepLines w:val="0"/>
      <w:pageBreakBefore w:val="0"/>
      <w:numPr>
        <w:ilvl w:val="3"/>
      </w:numPr>
      <w:tabs>
        <w:tab w:val="left" w:pos="1701"/>
      </w:tabs>
      <w:spacing w:before="240" w:after="120"/>
      <w:jc w:val="both"/>
      <w:outlineLvl w:val="3"/>
    </w:pPr>
    <w:rPr>
      <w:bCs w:val="0"/>
      <w:i/>
      <w:caps w:val="0"/>
      <w:sz w:val="24"/>
      <w:szCs w:val="28"/>
    </w:rPr>
  </w:style>
  <w:style w:type="paragraph" w:styleId="5">
    <w:name w:val="heading 5"/>
    <w:basedOn w:val="a"/>
    <w:link w:val="50"/>
    <w:qFormat/>
    <w:rsid w:val="00893A70"/>
    <w:pPr>
      <w:numPr>
        <w:ilvl w:val="4"/>
        <w:numId w:val="1"/>
      </w:numPr>
      <w:spacing w:line="360" w:lineRule="auto"/>
      <w:jc w:val="both"/>
      <w:outlineLvl w:val="4"/>
    </w:pPr>
    <w:rPr>
      <w:rFonts w:eastAsia="Batang"/>
      <w:sz w:val="24"/>
      <w:szCs w:val="24"/>
      <w:lang w:eastAsia="en-US"/>
    </w:rPr>
  </w:style>
  <w:style w:type="paragraph" w:styleId="6">
    <w:name w:val="heading 6"/>
    <w:basedOn w:val="a"/>
    <w:link w:val="60"/>
    <w:unhideWhenUsed/>
    <w:qFormat/>
    <w:rsid w:val="00893A70"/>
    <w:pPr>
      <w:numPr>
        <w:ilvl w:val="5"/>
        <w:numId w:val="1"/>
      </w:numPr>
      <w:spacing w:line="360" w:lineRule="auto"/>
      <w:jc w:val="both"/>
      <w:outlineLvl w:val="5"/>
    </w:pPr>
    <w:rPr>
      <w:rFonts w:eastAsia="Batang"/>
      <w:bCs/>
      <w:sz w:val="24"/>
      <w:szCs w:val="24"/>
      <w:lang w:eastAsia="en-US"/>
    </w:rPr>
  </w:style>
  <w:style w:type="paragraph" w:styleId="7">
    <w:name w:val="heading 7"/>
    <w:basedOn w:val="1"/>
    <w:link w:val="70"/>
    <w:unhideWhenUsed/>
    <w:qFormat/>
    <w:rsid w:val="00893A70"/>
    <w:pPr>
      <w:keepNext w:val="0"/>
      <w:keepLines w:val="0"/>
      <w:pageBreakBefore w:val="0"/>
      <w:numPr>
        <w:ilvl w:val="6"/>
      </w:numPr>
      <w:spacing w:after="0" w:line="288" w:lineRule="auto"/>
      <w:jc w:val="both"/>
      <w:outlineLvl w:val="6"/>
    </w:pPr>
    <w:rPr>
      <w:b w:val="0"/>
      <w:kern w:val="0"/>
      <w:sz w:val="20"/>
      <w:szCs w:val="20"/>
    </w:rPr>
  </w:style>
  <w:style w:type="paragraph" w:styleId="8">
    <w:name w:val="heading 8"/>
    <w:basedOn w:val="1"/>
    <w:link w:val="80"/>
    <w:unhideWhenUsed/>
    <w:qFormat/>
    <w:rsid w:val="00893A70"/>
    <w:pPr>
      <w:pageBreakBefore w:val="0"/>
      <w:numPr>
        <w:ilvl w:val="7"/>
      </w:numPr>
      <w:spacing w:before="240" w:after="200" w:line="288" w:lineRule="auto"/>
      <w:contextualSpacing/>
      <w:outlineLvl w:val="7"/>
    </w:pPr>
    <w:rPr>
      <w:b w:val="0"/>
      <w:iCs/>
      <w:sz w:val="20"/>
      <w:szCs w:val="20"/>
    </w:rPr>
  </w:style>
  <w:style w:type="paragraph" w:styleId="9">
    <w:name w:val="heading 9"/>
    <w:basedOn w:val="1"/>
    <w:link w:val="90"/>
    <w:unhideWhenUsed/>
    <w:qFormat/>
    <w:rsid w:val="00893A70"/>
    <w:pPr>
      <w:pageBreakBefore w:val="0"/>
      <w:numPr>
        <w:ilvl w:val="8"/>
      </w:numPr>
      <w:spacing w:before="240" w:after="120" w:line="288" w:lineRule="auto"/>
      <w:contextualSpacing/>
      <w:jc w:val="both"/>
      <w:outlineLvl w:val="8"/>
    </w:pPr>
    <w:rPr>
      <w:b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qFormat/>
    <w:rsid w:val="008A13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Знак"/>
    <w:basedOn w:val="a0"/>
    <w:uiPriority w:val="99"/>
    <w:qFormat/>
    <w:rsid w:val="008A1360"/>
    <w:rPr>
      <w:rFonts w:ascii="Calibri" w:hAnsi="Calibri"/>
      <w:szCs w:val="21"/>
    </w:rPr>
  </w:style>
  <w:style w:type="character" w:customStyle="1" w:styleId="a5">
    <w:name w:val="Основной текст Знак"/>
    <w:basedOn w:val="a0"/>
    <w:qFormat/>
    <w:rsid w:val="008A1360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a6">
    <w:name w:val="Текст выноски Знак"/>
    <w:basedOn w:val="a0"/>
    <w:uiPriority w:val="99"/>
    <w:semiHidden/>
    <w:qFormat/>
    <w:rsid w:val="00DB0EE8"/>
    <w:rPr>
      <w:rFonts w:ascii="Tahoma" w:eastAsia="MS Mincho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qFormat/>
    <w:rsid w:val="00893A70"/>
    <w:rPr>
      <w:rFonts w:ascii="Times New Roman" w:eastAsia="Batang" w:hAnsi="Times New Roman" w:cs="Times New Roman"/>
      <w:b/>
      <w:bCs/>
      <w:caps/>
      <w:kern w:val="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93A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qFormat/>
    <w:rsid w:val="00893A70"/>
    <w:rPr>
      <w:rFonts w:ascii="Times New Roman" w:eastAsia="Batang" w:hAnsi="Times New Roman" w:cs="Times New Roman"/>
      <w:b/>
      <w:kern w:val="2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sid w:val="00893A70"/>
    <w:rPr>
      <w:rFonts w:ascii="Times New Roman" w:eastAsia="Batang" w:hAnsi="Times New Roman" w:cs="Times New Roman"/>
      <w:b/>
      <w:i/>
      <w:kern w:val="2"/>
      <w:sz w:val="24"/>
      <w:szCs w:val="28"/>
    </w:rPr>
  </w:style>
  <w:style w:type="character" w:customStyle="1" w:styleId="50">
    <w:name w:val="Заголовок 5 Знак"/>
    <w:basedOn w:val="a0"/>
    <w:link w:val="5"/>
    <w:qFormat/>
    <w:rsid w:val="00893A70"/>
    <w:rPr>
      <w:rFonts w:ascii="Times New Roman" w:eastAsia="Batang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qFormat/>
    <w:rsid w:val="00893A70"/>
    <w:rPr>
      <w:rFonts w:ascii="Times New Roman" w:eastAsia="Batang" w:hAnsi="Times New Roman" w:cs="Times New Roman"/>
      <w:bCs/>
      <w:sz w:val="24"/>
      <w:szCs w:val="24"/>
    </w:rPr>
  </w:style>
  <w:style w:type="character" w:customStyle="1" w:styleId="70">
    <w:name w:val="Заголовок 7 Знак"/>
    <w:basedOn w:val="a0"/>
    <w:link w:val="7"/>
    <w:qFormat/>
    <w:rsid w:val="00893A70"/>
    <w:rPr>
      <w:rFonts w:ascii="Times New Roman" w:eastAsia="Batang" w:hAnsi="Times New Roman" w:cs="Times New Roman"/>
      <w:bCs/>
      <w:caps/>
      <w:sz w:val="20"/>
      <w:szCs w:val="20"/>
    </w:rPr>
  </w:style>
  <w:style w:type="character" w:customStyle="1" w:styleId="80">
    <w:name w:val="Заголовок 8 Знак"/>
    <w:basedOn w:val="a0"/>
    <w:link w:val="8"/>
    <w:qFormat/>
    <w:rsid w:val="00893A70"/>
    <w:rPr>
      <w:rFonts w:ascii="Times New Roman" w:eastAsia="Batang" w:hAnsi="Times New Roman" w:cs="Times New Roman"/>
      <w:bCs/>
      <w:iCs/>
      <w:caps/>
      <w:kern w:val="2"/>
      <w:sz w:val="20"/>
      <w:szCs w:val="20"/>
    </w:rPr>
  </w:style>
  <w:style w:type="character" w:customStyle="1" w:styleId="90">
    <w:name w:val="Заголовок 9 Знак"/>
    <w:basedOn w:val="a0"/>
    <w:link w:val="9"/>
    <w:qFormat/>
    <w:rsid w:val="00893A70"/>
    <w:rPr>
      <w:rFonts w:ascii="Times New Roman" w:eastAsia="Batang" w:hAnsi="Times New Roman" w:cs="Times New Roman"/>
      <w:bCs/>
      <w:caps/>
      <w:kern w:val="2"/>
      <w:sz w:val="20"/>
      <w:szCs w:val="20"/>
    </w:rPr>
  </w:style>
  <w:style w:type="character" w:customStyle="1" w:styleId="a7">
    <w:name w:val="Обычный. Список. Знак"/>
    <w:qFormat/>
    <w:rsid w:val="00893A70"/>
    <w:rPr>
      <w:rFonts w:ascii="Times New Roman" w:eastAsia="Batang" w:hAnsi="Times New Roman" w:cs="Times New Roman"/>
      <w:sz w:val="24"/>
      <w:szCs w:val="24"/>
    </w:rPr>
  </w:style>
  <w:style w:type="character" w:customStyle="1" w:styleId="21">
    <w:name w:val="Заголовок 2 Знак1"/>
    <w:qFormat/>
    <w:rsid w:val="0030236A"/>
    <w:rPr>
      <w:rFonts w:ascii="Times New Roman" w:eastAsia="Batang" w:hAnsi="Times New Roman" w:cs="Times New Roman"/>
      <w:iCs/>
      <w:color w:val="000000"/>
      <w:kern w:val="2"/>
      <w:sz w:val="24"/>
      <w:szCs w:val="30"/>
      <w:shd w:val="clear" w:color="auto" w:fill="FFFFFF"/>
    </w:rPr>
  </w:style>
  <w:style w:type="character" w:customStyle="1" w:styleId="ListLabel1">
    <w:name w:val="ListLabel 1"/>
    <w:qFormat/>
    <w:rPr>
      <w:rFonts w:cs="Calibri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0"/>
      <w:position w:val="0"/>
      <w:sz w:val="22"/>
      <w:szCs w:val="22"/>
      <w:u w:val="none"/>
      <w:vertAlign w:val="baseline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18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0"/>
      <w:position w:val="0"/>
      <w:sz w:val="20"/>
      <w:szCs w:val="0"/>
      <w:u w:val="none"/>
      <w:vertAlign w:val="baseline"/>
      <w:em w:val="none"/>
    </w:rPr>
  </w:style>
  <w:style w:type="character" w:customStyle="1" w:styleId="ListLabel15">
    <w:name w:val="ListLabel 15"/>
    <w:qFormat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vertAlign w:val="baseline"/>
      <w:em w:val="none"/>
    </w:rPr>
  </w:style>
  <w:style w:type="character" w:customStyle="1" w:styleId="ListLabel16">
    <w:name w:val="ListLabel 16"/>
    <w:qFormat/>
    <w:rPr>
      <w:rFonts w:cs="Times New Roman"/>
      <w:b/>
      <w:bCs w:val="0"/>
      <w:i/>
      <w:iCs w:val="0"/>
      <w:caps w:val="0"/>
      <w:smallCaps w:val="0"/>
      <w:strike w:val="0"/>
      <w:dstrike w:val="0"/>
      <w:vanish w:val="0"/>
      <w:color w:val="000000"/>
      <w:spacing w:val="0"/>
      <w:w w:val="100"/>
      <w:kern w:val="0"/>
      <w:position w:val="0"/>
      <w:sz w:val="20"/>
      <w:szCs w:val="0"/>
      <w:u w:val="none"/>
      <w:vertAlign w:val="baseline"/>
      <w:em w:val="none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eastAsia="Times New Roman" w:cs="Calibri"/>
    </w:rPr>
  </w:style>
  <w:style w:type="character" w:customStyle="1" w:styleId="ListLabel165">
    <w:name w:val="ListLabel 165"/>
    <w:qFormat/>
    <w:rPr>
      <w:rFonts w:cs="Courier New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Courier New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Courier New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b/>
      <w:sz w:val="24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Courier New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Courier New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Courier New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Courier New"/>
    </w:rPr>
  </w:style>
  <w:style w:type="character" w:customStyle="1" w:styleId="ListLabel217">
    <w:name w:val="ListLabel 217"/>
    <w:qFormat/>
    <w:rPr>
      <w:b/>
      <w:sz w:val="28"/>
      <w:szCs w:val="28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Courier New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Courier New"/>
    </w:rPr>
  </w:style>
  <w:style w:type="character" w:customStyle="1" w:styleId="ListLabel229">
    <w:name w:val="ListLabel 229"/>
    <w:qFormat/>
    <w:rPr>
      <w:rFonts w:cs="Courier New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rsid w:val="008A1360"/>
    <w:rPr>
      <w:rFonts w:ascii="Arial" w:eastAsia="Times New Roman" w:hAnsi="Arial"/>
      <w:b/>
      <w:bCs/>
      <w:sz w:val="24"/>
    </w:rPr>
  </w:style>
  <w:style w:type="paragraph" w:styleId="aa">
    <w:name w:val="List"/>
    <w:basedOn w:val="a9"/>
    <w:unhideWhenUsed/>
    <w:rsid w:val="00893A70"/>
    <w:pPr>
      <w:spacing w:line="360" w:lineRule="auto"/>
      <w:jc w:val="both"/>
    </w:pPr>
    <w:rPr>
      <w:rFonts w:ascii="Times New Roman" w:eastAsia="Batang" w:hAnsi="Times New Roman"/>
      <w:b w:val="0"/>
      <w:bCs w:val="0"/>
      <w:sz w:val="20"/>
      <w:lang w:eastAsia="en-U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ad">
    <w:name w:val="footer"/>
    <w:basedOn w:val="a"/>
    <w:rsid w:val="008A1360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paragraph" w:styleId="ae">
    <w:name w:val="Plain Text"/>
    <w:basedOn w:val="a"/>
    <w:uiPriority w:val="99"/>
    <w:unhideWhenUsed/>
    <w:qFormat/>
    <w:rsid w:val="008A1360"/>
    <w:rPr>
      <w:rFonts w:ascii="Calibri" w:eastAsiaTheme="minorHAnsi" w:hAnsi="Calibri" w:cstheme="minorBidi"/>
      <w:sz w:val="22"/>
      <w:szCs w:val="21"/>
      <w:lang w:eastAsia="en-US"/>
    </w:rPr>
  </w:style>
  <w:style w:type="paragraph" w:styleId="af">
    <w:name w:val="List Paragraph"/>
    <w:basedOn w:val="a"/>
    <w:uiPriority w:val="34"/>
    <w:qFormat/>
    <w:rsid w:val="00713FA5"/>
    <w:pPr>
      <w:ind w:left="720"/>
      <w:contextualSpacing/>
    </w:pPr>
    <w:rPr>
      <w:rFonts w:eastAsia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DB0EE8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396287"/>
    <w:pPr>
      <w:widowControl w:val="0"/>
      <w:ind w:right="34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AN">
    <w:name w:val="AN_Обычный"/>
    <w:basedOn w:val="a"/>
    <w:qFormat/>
    <w:rsid w:val="00893A70"/>
    <w:pPr>
      <w:spacing w:line="360" w:lineRule="auto"/>
      <w:ind w:firstLine="709"/>
      <w:jc w:val="both"/>
    </w:pPr>
    <w:rPr>
      <w:rFonts w:eastAsia="Times New Roman"/>
      <w:sz w:val="24"/>
      <w:szCs w:val="24"/>
    </w:rPr>
  </w:style>
  <w:style w:type="paragraph" w:customStyle="1" w:styleId="af1">
    <w:name w:val="Обычный. Список."/>
    <w:basedOn w:val="aa"/>
    <w:qFormat/>
    <w:rsid w:val="00893A70"/>
    <w:rPr>
      <w:sz w:val="24"/>
      <w:szCs w:val="24"/>
    </w:rPr>
  </w:style>
  <w:style w:type="table" w:styleId="af2">
    <w:name w:val="Table Grid"/>
    <w:basedOn w:val="a1"/>
    <w:uiPriority w:val="39"/>
    <w:rsid w:val="00DE453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">
    <w:name w:val="Сетка таблицы1"/>
    <w:basedOn w:val="a1"/>
    <w:uiPriority w:val="59"/>
    <w:rsid w:val="00EB3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uiPriority w:val="39"/>
    <w:rsid w:val="002605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uiPriority w:val="39"/>
    <w:rsid w:val="00C101CB"/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"/>
    <w:basedOn w:val="a1"/>
    <w:uiPriority w:val="59"/>
    <w:rsid w:val="00305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uiPriority w:val="59"/>
    <w:rsid w:val="00A55EB7"/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1333</Words>
  <Characters>7601</Characters>
  <Application>Microsoft Office Word</Application>
  <DocSecurity>0</DocSecurity>
  <Lines>63</Lines>
  <Paragraphs>17</Paragraphs>
  <ScaleCrop>false</ScaleCrop>
  <Company>ОАО НПП "Алмаз"</Company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Филипова Ольга Владимировна</dc:creator>
  <dc:description/>
  <cp:lastModifiedBy>Александр Власов</cp:lastModifiedBy>
  <cp:revision>4</cp:revision>
  <dcterms:created xsi:type="dcterms:W3CDTF">2020-12-11T05:16:00Z</dcterms:created>
  <dcterms:modified xsi:type="dcterms:W3CDTF">2020-12-21T07:36:00Z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ОАО НПП "Алмаз"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