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bookmarkStart w:id="0" w:name="_GoBack"/>
      <w:bookmarkEnd w:id="0"/>
      <w:r>
        <w:rPr/>
        <w:t xml:space="preserve">Приложение № 2 </w:t>
      </w:r>
    </w:p>
    <w:p>
      <w:pPr>
        <w:pStyle w:val="Normal"/>
        <w:jc w:val="right"/>
        <w:rPr/>
      </w:pPr>
      <w:r>
        <w:rPr/>
        <w:t xml:space="preserve">к Документации о закупке </w:t>
      </w:r>
    </w:p>
    <w:p>
      <w:pPr>
        <w:pStyle w:val="Normal"/>
        <w:widowControl w:val="false"/>
        <w:numPr>
          <w:ilvl w:val="0"/>
          <w:numId w:val="0"/>
        </w:numPr>
        <w:spacing w:before="480" w:after="120"/>
        <w:jc w:val="center"/>
        <w:outlineLvl w:val="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ТРЕБОВАНИЯ К ПРОДУКЦИИ (ПРЕДМЕТУ ЗАКУПКИ)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</w:t>
      </w:r>
    </w:p>
    <w:p>
      <w:pPr>
        <w:pStyle w:val="Normal"/>
        <w:spacing w:lineRule="auto" w:line="276"/>
        <w:rPr>
          <w:rFonts w:eastAsia="Times New Roman"/>
          <w:b/>
          <w:b/>
          <w:sz w:val="24"/>
          <w:szCs w:val="24"/>
        </w:rPr>
      </w:pPr>
      <w:r>
        <w:rPr>
          <w:rFonts w:eastAsia="Times New Roman"/>
          <w:sz w:val="28"/>
          <w:szCs w:val="28"/>
        </w:rPr>
        <w:t xml:space="preserve">    </w:t>
      </w:r>
      <w:r>
        <w:rPr>
          <w:rFonts w:eastAsia="Times New Roman"/>
          <w:b/>
          <w:sz w:val="24"/>
          <w:szCs w:val="24"/>
        </w:rPr>
        <w:t>Эквивалент допустим в соответствии с п. 10.3.7 (1) ЕПОЗ ГК «Ростех» при условии соответствия товара тех. требованиям ТЗ.</w:t>
      </w:r>
    </w:p>
    <w:p>
      <w:pPr>
        <w:pStyle w:val="Normal"/>
        <w:spacing w:lineRule="auto" w:line="276"/>
        <w:rPr>
          <w:rFonts w:eastAsia="Times New Roman"/>
          <w:b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</w:p>
    <w:p>
      <w:pPr>
        <w:pStyle w:val="Normal"/>
        <w:spacing w:before="0" w:after="0"/>
        <w:ind w:left="284" w:hanging="0"/>
        <w:contextualSpacing/>
        <w:rPr>
          <w:rFonts w:eastAsia="Calibri"/>
          <w:b/>
          <w:b/>
          <w:color w:val="000000"/>
          <w:sz w:val="24"/>
          <w:szCs w:val="24"/>
          <w:u w:val="single"/>
          <w:lang w:eastAsia="en-US"/>
        </w:rPr>
      </w:pPr>
      <w:r>
        <w:rPr>
          <w:rFonts w:eastAsia="Calibri"/>
          <w:b/>
          <w:color w:val="000000"/>
          <w:sz w:val="24"/>
          <w:szCs w:val="24"/>
          <w:u w:val="single"/>
          <w:lang w:eastAsia="en-US"/>
        </w:rPr>
        <w:t>Наименование и область применения</w:t>
      </w:r>
    </w:p>
    <w:p>
      <w:pPr>
        <w:pStyle w:val="Normal"/>
        <w:spacing w:before="0" w:after="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    </w:t>
      </w:r>
      <w:r>
        <w:rPr>
          <w:rFonts w:eastAsia="Calibri"/>
          <w:color w:val="000000"/>
          <w:sz w:val="24"/>
          <w:szCs w:val="24"/>
          <w:lang w:eastAsia="en-US"/>
        </w:rPr>
        <w:t>Спирали применяются для изготовления приборов электронной техники (ЛБВ).</w:t>
      </w:r>
    </w:p>
    <w:p>
      <w:pPr>
        <w:pStyle w:val="Normal"/>
        <w:ind w:left="284" w:hanging="0"/>
        <w:rPr>
          <w:rFonts w:eastAsia="Times New Roman"/>
          <w:b/>
          <w:b/>
          <w:color w:val="000000"/>
          <w:sz w:val="24"/>
          <w:szCs w:val="24"/>
          <w:u w:val="single"/>
        </w:rPr>
      </w:pPr>
      <w:r>
        <w:rPr>
          <w:rFonts w:eastAsia="Times New Roman"/>
          <w:b/>
          <w:color w:val="000000"/>
          <w:sz w:val="24"/>
          <w:szCs w:val="24"/>
        </w:rPr>
        <w:t xml:space="preserve">    </w:t>
      </w:r>
      <w:r>
        <w:rPr>
          <w:rFonts w:eastAsia="Times New Roman"/>
          <w:b/>
          <w:color w:val="000000"/>
          <w:sz w:val="24"/>
          <w:szCs w:val="24"/>
          <w:u w:val="single"/>
        </w:rPr>
        <w:t>Цель и назначение разработки</w:t>
      </w:r>
    </w:p>
    <w:p>
      <w:pPr>
        <w:pStyle w:val="Normal"/>
        <w:spacing w:before="0" w:after="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    </w:t>
      </w:r>
      <w:r>
        <w:rPr>
          <w:rFonts w:eastAsia="Calibri"/>
          <w:color w:val="000000"/>
          <w:sz w:val="24"/>
          <w:szCs w:val="24"/>
          <w:lang w:eastAsia="en-US"/>
        </w:rPr>
        <w:t>Должна быть поставлена установка для выполнения прецизионного контроля шагов спирали как на керне, так и снятых с керна, и проведения анализа результатов полученных измерений.</w:t>
      </w:r>
    </w:p>
    <w:p>
      <w:pPr>
        <w:pStyle w:val="Normal"/>
        <w:jc w:val="both"/>
        <w:textAlignment w:val="baseline"/>
        <w:rPr>
          <w:rFonts w:eastAsia="SimSun"/>
          <w:kern w:val="2"/>
          <w:sz w:val="24"/>
          <w:szCs w:val="24"/>
          <w:lang w:eastAsia="zh-CN" w:bidi="hi-IN"/>
        </w:rPr>
      </w:pPr>
      <w:r>
        <w:rPr>
          <w:rFonts w:eastAsia="SimSun"/>
          <w:kern w:val="2"/>
          <w:sz w:val="24"/>
          <w:szCs w:val="24"/>
          <w:lang w:eastAsia="zh-CN" w:bidi="hi-IN"/>
        </w:rPr>
      </w:r>
    </w:p>
    <w:p>
      <w:pPr>
        <w:pStyle w:val="Normal"/>
        <w:spacing w:lineRule="auto" w:line="276"/>
        <w:jc w:val="both"/>
        <w:rPr>
          <w:rFonts w:eastAsia="Times New Roman"/>
          <w:b/>
          <w:b/>
          <w:sz w:val="24"/>
          <w:szCs w:val="24"/>
          <w:u w:val="single"/>
        </w:rPr>
      </w:pPr>
      <w:r>
        <w:rPr>
          <w:rFonts w:eastAsia="Times New Roman"/>
          <w:b/>
          <w:sz w:val="24"/>
          <w:szCs w:val="24"/>
          <w:u w:val="single"/>
        </w:rPr>
        <w:t>Технические характеристики:</w:t>
      </w:r>
    </w:p>
    <w:p>
      <w:pPr>
        <w:pStyle w:val="Normal"/>
        <w:spacing w:lineRule="auto" w:line="27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Style w:val="61"/>
        <w:tblW w:w="9854" w:type="dxa"/>
        <w:jc w:val="left"/>
        <w:tblInd w:w="14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31"/>
        <w:gridCol w:w="4922"/>
      </w:tblGrid>
      <w:tr>
        <w:trPr>
          <w:trHeight w:val="483" w:hRule="atLeast"/>
        </w:trPr>
        <w:tc>
          <w:tcPr>
            <w:tcW w:w="49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Длина измеряемой спирали</w:t>
            </w:r>
          </w:p>
        </w:tc>
        <w:tc>
          <w:tcPr>
            <w:tcW w:w="49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         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до 300  мм</w:t>
            </w:r>
          </w:p>
        </w:tc>
      </w:tr>
      <w:tr>
        <w:trPr>
          <w:trHeight w:val="483" w:hRule="atLeast"/>
        </w:trPr>
        <w:tc>
          <w:tcPr>
            <w:tcW w:w="49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Направление контроля</w:t>
            </w:r>
          </w:p>
        </w:tc>
        <w:tc>
          <w:tcPr>
            <w:tcW w:w="49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720" w:hanging="0"/>
              <w:contextualSpacing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правое, левое</w:t>
            </w:r>
          </w:p>
        </w:tc>
      </w:tr>
      <w:tr>
        <w:trPr>
          <w:trHeight w:val="483" w:hRule="atLeast"/>
        </w:trPr>
        <w:tc>
          <w:tcPr>
            <w:tcW w:w="49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Шаг контролируемой спирали</w:t>
            </w:r>
          </w:p>
        </w:tc>
        <w:tc>
          <w:tcPr>
            <w:tcW w:w="49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720" w:hanging="0"/>
              <w:contextualSpacing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от 0,07 до 2 мм</w:t>
            </w:r>
          </w:p>
        </w:tc>
      </w:tr>
      <w:tr>
        <w:trPr>
          <w:trHeight w:val="483" w:hRule="atLeast"/>
        </w:trPr>
        <w:tc>
          <w:tcPr>
            <w:tcW w:w="49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Погрешность измерения шага при контроле на керне после навивки и снятой с керна спирали, не более, мкм      </w:t>
            </w:r>
          </w:p>
        </w:tc>
        <w:tc>
          <w:tcPr>
            <w:tcW w:w="492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142" w:hanging="0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0,15+0,1х</w:t>
            </w: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L</w:t>
            </w:r>
            <w:r>
              <w:rPr>
                <w:rFonts w:eastAsia="Times New Roman"/>
                <w:color w:val="000000"/>
                <w:sz w:val="24"/>
                <w:szCs w:val="24"/>
              </w:rPr>
              <w:t>,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где </w:t>
            </w: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L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- измеряемый шаг в мм</w:t>
            </w:r>
          </w:p>
          <w:p>
            <w:pPr>
              <w:pStyle w:val="Normal"/>
              <w:spacing w:lineRule="auto" w:line="240" w:before="0" w:after="0"/>
              <w:ind w:left="720" w:hanging="0"/>
              <w:contextualSpacing/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spacing w:before="0" w:after="0"/>
        <w:ind w:left="567" w:hanging="567"/>
        <w:contextualSpacing/>
        <w:jc w:val="both"/>
        <w:rPr>
          <w:rFonts w:eastAsia="Calibri"/>
          <w:b/>
          <w:b/>
          <w:color w:val="000000"/>
          <w:sz w:val="24"/>
          <w:szCs w:val="24"/>
          <w:u w:val="single"/>
          <w:lang w:eastAsia="en-US"/>
        </w:rPr>
      </w:pPr>
      <w:r>
        <w:rPr>
          <w:rFonts w:eastAsia="Calibri"/>
          <w:b/>
          <w:color w:val="000000"/>
          <w:sz w:val="24"/>
          <w:szCs w:val="24"/>
          <w:u w:val="single"/>
          <w:lang w:eastAsia="en-US"/>
        </w:rPr>
        <w:t>Технические требования к процессу контроля шага спиралей.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      </w:t>
      </w:r>
      <w:r>
        <w:rPr>
          <w:rFonts w:eastAsia="Times New Roman"/>
          <w:color w:val="000000"/>
          <w:sz w:val="24"/>
          <w:szCs w:val="24"/>
        </w:rPr>
        <w:t>Установка состоит из оптико-механической части и системы управления и настройки с программным обеспечением.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      </w:t>
      </w:r>
      <w:r>
        <w:rPr>
          <w:rFonts w:eastAsia="Times New Roman"/>
          <w:color w:val="000000"/>
          <w:sz w:val="24"/>
          <w:szCs w:val="24"/>
        </w:rPr>
        <w:t>Пульт управления установки (инициализация, пуск, стоп) должен находиться вблизи рабочей зоны станка.</w:t>
      </w:r>
    </w:p>
    <w:p>
      <w:pPr>
        <w:pStyle w:val="Normal"/>
        <w:spacing w:before="0" w:after="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       </w:t>
      </w:r>
      <w:r>
        <w:rPr>
          <w:rFonts w:eastAsia="Calibri"/>
          <w:color w:val="000000"/>
          <w:sz w:val="24"/>
          <w:szCs w:val="24"/>
          <w:lang w:eastAsia="en-US"/>
        </w:rPr>
        <w:t>Установка должна быть оснащена лазерным интерферометром для точного выполнения контроля шага спиралей, снятых с керна.</w:t>
      </w:r>
    </w:p>
    <w:p>
      <w:pPr>
        <w:pStyle w:val="Normal"/>
        <w:spacing w:before="0" w:after="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       </w:t>
      </w:r>
      <w:r>
        <w:rPr>
          <w:rFonts w:eastAsia="Calibri"/>
          <w:color w:val="000000"/>
          <w:sz w:val="24"/>
          <w:szCs w:val="24"/>
          <w:lang w:eastAsia="en-US"/>
        </w:rPr>
        <w:t>Установка должна быть обеспечена устройством поворота луча (обеспеченное его фокусировкой) и фотоприемника в пределах 0 - 30º.</w:t>
      </w:r>
    </w:p>
    <w:p>
      <w:pPr>
        <w:pStyle w:val="Normal"/>
        <w:spacing w:before="0" w:after="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       </w:t>
      </w:r>
      <w:r>
        <w:rPr>
          <w:rFonts w:eastAsia="Calibri"/>
          <w:color w:val="000000"/>
          <w:sz w:val="24"/>
          <w:szCs w:val="24"/>
          <w:lang w:eastAsia="en-US"/>
        </w:rPr>
        <w:t>Установка должна быть обеспечена системой видеонаблюдения за процессом контроля спиралей. Монитор видеонаблюдения должен находиться вблизи рабочей зоны установки. Камера должна обеспечивать обзор места нахождения лазерного луча на спирали.</w:t>
      </w:r>
    </w:p>
    <w:p>
      <w:pPr>
        <w:pStyle w:val="Normal"/>
        <w:spacing w:before="0" w:after="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        </w:t>
      </w:r>
      <w:r>
        <w:rPr>
          <w:rFonts w:eastAsia="Calibri"/>
          <w:color w:val="000000"/>
          <w:sz w:val="24"/>
          <w:szCs w:val="24"/>
          <w:lang w:eastAsia="en-US"/>
        </w:rPr>
        <w:t>Для создания установки должна использоваться современная база электроники и соответствовать всем требованиям безопасности и стандартам.</w:t>
      </w:r>
    </w:p>
    <w:p>
      <w:pPr>
        <w:pStyle w:val="Normal"/>
        <w:spacing w:before="0" w:after="20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        </w:t>
      </w:r>
      <w:r>
        <w:rPr>
          <w:rFonts w:eastAsia="Calibri"/>
          <w:color w:val="000000"/>
          <w:sz w:val="24"/>
          <w:szCs w:val="24"/>
          <w:lang w:eastAsia="en-US"/>
        </w:rPr>
        <w:t xml:space="preserve">Установленное и разработанное ПО должно быть выполнено в соответствие с постановлением Правительства РФ от 16 ноября 2015г. №1236 о пользовательских и лицензионных соглашениях.                                     </w:t>
      </w:r>
    </w:p>
    <w:p>
      <w:pPr>
        <w:pStyle w:val="Normal"/>
        <w:spacing w:before="0" w:after="0"/>
        <w:ind w:left="142" w:firstLine="284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   </w:t>
      </w:r>
      <w:r>
        <w:rPr>
          <w:rFonts w:eastAsia="Calibri"/>
          <w:color w:val="000000"/>
          <w:sz w:val="24"/>
          <w:szCs w:val="24"/>
          <w:lang w:eastAsia="en-US"/>
        </w:rPr>
        <w:t>В ПО должна быть функция самодиагностики систем установки, обеспечивающих точность контроля. Также ПО должно обеспечивать возможность проведения диагностики станка для выявления проблемных участков в узлах или электронной части станка.</w:t>
      </w:r>
    </w:p>
    <w:p>
      <w:pPr>
        <w:pStyle w:val="Normal"/>
        <w:spacing w:before="0" w:after="200"/>
        <w:ind w:left="284" w:hanging="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        </w:t>
      </w:r>
      <w:r>
        <w:rPr>
          <w:rFonts w:eastAsia="Calibri"/>
          <w:color w:val="000000"/>
          <w:sz w:val="24"/>
          <w:szCs w:val="24"/>
          <w:lang w:eastAsia="en-US"/>
        </w:rPr>
        <w:t>ПО должно обеспечивать: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управление и настройку установки в процессе измерения;</w:t>
      </w:r>
    </w:p>
    <w:p>
      <w:pPr>
        <w:pStyle w:val="Normal"/>
        <w:ind w:left="142" w:hanging="142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ввод, просмотр, редактирование и сохранение паспортных данных измеряемой спирали;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ввод, просмотр, анализ, обработка и сохранение результатов измерения;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автоматический выход луча в любой шаг измеренной спирали; </w:t>
      </w:r>
    </w:p>
    <w:p>
      <w:pPr>
        <w:pStyle w:val="Normal"/>
        <w:ind w:left="142" w:hanging="142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однократное или многократное измерение спиралей с одновременным сбором информации;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ручное управление станком;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просмотр на экране дисплея таблиц, графиков результатов измерений;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вывод на печатающее устройство таблиц и графиков результатов измерений;</w:t>
      </w:r>
    </w:p>
    <w:p>
      <w:pPr>
        <w:pStyle w:val="Normal"/>
        <w:ind w:left="142" w:hanging="142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запись на жесткий диск устройства паспортных данных измеряемой спирали, результатов измерения с возможностью копирования информации на внешний носитель в формате </w:t>
      </w:r>
      <w:r>
        <w:rPr>
          <w:rFonts w:eastAsia="Times New Roman"/>
          <w:color w:val="000000"/>
          <w:sz w:val="24"/>
          <w:szCs w:val="24"/>
          <w:lang w:val="en-US"/>
        </w:rPr>
        <w:t>Excel</w:t>
      </w:r>
      <w:r>
        <w:rPr>
          <w:rFonts w:eastAsia="Times New Roman"/>
          <w:color w:val="000000"/>
          <w:sz w:val="24"/>
          <w:szCs w:val="24"/>
        </w:rPr>
        <w:t>.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возможность очистки информации на жестком диске.</w:t>
      </w:r>
    </w:p>
    <w:p>
      <w:pPr>
        <w:pStyle w:val="Normal"/>
        <w:spacing w:before="0" w:after="200"/>
        <w:ind w:left="142" w:hanging="142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       </w:t>
      </w:r>
      <w:r>
        <w:rPr>
          <w:rFonts w:eastAsia="Calibri"/>
          <w:color w:val="000000"/>
          <w:sz w:val="24"/>
          <w:szCs w:val="24"/>
          <w:lang w:eastAsia="en-US"/>
        </w:rPr>
        <w:t>Установка должна быть оснащена виброопорами с целью развязки от внешней вибрации, что может негативно влиять на точность исполнения процесса контроля спиралей.</w:t>
      </w:r>
    </w:p>
    <w:p>
      <w:pPr>
        <w:pStyle w:val="Normal"/>
        <w:spacing w:before="0" w:after="200"/>
        <w:ind w:left="142" w:hanging="142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       </w:t>
      </w:r>
      <w:r>
        <w:rPr>
          <w:rFonts w:eastAsia="Calibri"/>
          <w:color w:val="000000"/>
          <w:sz w:val="24"/>
          <w:szCs w:val="24"/>
          <w:lang w:eastAsia="en-US"/>
        </w:rPr>
        <w:t>Узлы и электронные модули должны обеспечивать повышенную надежность и многолетнюю работоспособность.</w:t>
      </w:r>
    </w:p>
    <w:p>
      <w:pPr>
        <w:pStyle w:val="Normal"/>
        <w:jc w:val="both"/>
        <w:rPr>
          <w:rFonts w:eastAsia="Times New Roman"/>
          <w:b/>
          <w:b/>
          <w:color w:val="000000"/>
          <w:sz w:val="24"/>
          <w:szCs w:val="24"/>
          <w:u w:val="single"/>
        </w:rPr>
      </w:pPr>
      <w:r>
        <w:rPr>
          <w:rFonts w:eastAsia="Times New Roman"/>
          <w:b/>
          <w:color w:val="000000"/>
          <w:sz w:val="24"/>
          <w:szCs w:val="24"/>
          <w:u w:val="single"/>
        </w:rPr>
        <w:t xml:space="preserve">Режим работы </w:t>
      </w:r>
    </w:p>
    <w:p>
      <w:pPr>
        <w:pStyle w:val="Normal"/>
        <w:spacing w:before="0" w:after="0"/>
        <w:ind w:left="284" w:hanging="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-  12-ти часовой бесперебойный работы.</w:t>
      </w:r>
    </w:p>
    <w:p>
      <w:pPr>
        <w:pStyle w:val="Normal"/>
        <w:spacing w:before="0" w:after="0"/>
        <w:ind w:left="284" w:hanging="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-  температурный режим 21(+10;-5)º С.</w:t>
      </w:r>
    </w:p>
    <w:p>
      <w:pPr>
        <w:pStyle w:val="Normal"/>
        <w:spacing w:before="0" w:after="0"/>
        <w:ind w:left="284" w:hanging="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-   электропитание переменным током 380/220 В, частота 50Гц.</w:t>
      </w:r>
    </w:p>
    <w:p>
      <w:pPr>
        <w:pStyle w:val="Normal"/>
        <w:spacing w:beforeAutospacing="1" w:after="0"/>
        <w:ind w:left="284" w:hanging="0"/>
        <w:contextualSpacing/>
        <w:jc w:val="both"/>
        <w:rPr>
          <w:rFonts w:eastAsia="Times New Roman"/>
          <w:color w:val="000000"/>
          <w:sz w:val="24"/>
          <w:szCs w:val="24"/>
          <w:u w:val="single"/>
        </w:rPr>
      </w:pPr>
      <w:r>
        <w:rPr>
          <w:rFonts w:eastAsia="Times New Roman"/>
          <w:b/>
          <w:bCs/>
          <w:color w:val="000000"/>
          <w:sz w:val="24"/>
          <w:szCs w:val="24"/>
          <w:u w:val="single"/>
        </w:rPr>
        <w:t>Требования безопасности</w:t>
      </w:r>
      <w:r>
        <w:rPr>
          <w:rFonts w:eastAsia="Times New Roman"/>
          <w:color w:val="000000"/>
          <w:sz w:val="24"/>
          <w:szCs w:val="24"/>
          <w:u w:val="single"/>
        </w:rPr>
        <w:t> </w:t>
      </w:r>
    </w:p>
    <w:p>
      <w:pPr>
        <w:pStyle w:val="Normal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  <w:shd w:fill="FFFFFF" w:val="clear"/>
        </w:rPr>
        <w:t xml:space="preserve">        </w:t>
      </w:r>
      <w:r>
        <w:rPr>
          <w:rFonts w:eastAsia="Times New Roman"/>
          <w:color w:val="000000"/>
          <w:sz w:val="24"/>
          <w:szCs w:val="24"/>
          <w:shd w:fill="FFFFFF" w:val="clear"/>
        </w:rPr>
        <w:t>Приводы исполнительных органов установки должны иметь функцию защиты рабочего органа станка от перегрузки, способной предотвращать поломку оборудования.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    </w:t>
      </w:r>
      <w:r>
        <w:rPr>
          <w:rFonts w:eastAsia="Times New Roman"/>
          <w:color w:val="000000"/>
          <w:sz w:val="24"/>
          <w:szCs w:val="24"/>
        </w:rPr>
        <w:t xml:space="preserve">В конструкции </w:t>
      </w:r>
      <w:r>
        <w:rPr>
          <w:rFonts w:eastAsia="Times New Roman"/>
          <w:color w:val="000000"/>
          <w:sz w:val="24"/>
          <w:szCs w:val="24"/>
          <w:shd w:fill="FFFFFF" w:val="clear"/>
        </w:rPr>
        <w:t>установки</w:t>
      </w:r>
      <w:r>
        <w:rPr>
          <w:rFonts w:eastAsia="Times New Roman"/>
          <w:color w:val="000000"/>
          <w:sz w:val="24"/>
          <w:szCs w:val="24"/>
        </w:rPr>
        <w:t xml:space="preserve"> должны быть предусмотрены физические устройства, исключающие перебеги рабочих органов за пределы допускаемых положений.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     </w:t>
      </w:r>
      <w:r>
        <w:rPr>
          <w:rFonts w:eastAsia="Times New Roman"/>
          <w:color w:val="000000"/>
          <w:sz w:val="24"/>
          <w:szCs w:val="24"/>
        </w:rPr>
        <w:t xml:space="preserve">В конструкции </w:t>
      </w:r>
      <w:r>
        <w:rPr>
          <w:rFonts w:eastAsia="Times New Roman"/>
          <w:color w:val="000000"/>
          <w:sz w:val="24"/>
          <w:szCs w:val="24"/>
          <w:shd w:fill="FFFFFF" w:val="clear"/>
        </w:rPr>
        <w:t>установки</w:t>
      </w:r>
      <w:r>
        <w:rPr>
          <w:rFonts w:eastAsia="Times New Roman"/>
          <w:color w:val="000000"/>
          <w:sz w:val="24"/>
          <w:szCs w:val="24"/>
        </w:rPr>
        <w:t xml:space="preserve"> должны быть предусмотрены устройства, исключающие самопроизвольное включение и (или) перемещение механизмов. </w:t>
        <w:br/>
        <w:t xml:space="preserve">      Поставляемая </w:t>
      </w:r>
      <w:r>
        <w:rPr>
          <w:rFonts w:eastAsia="Times New Roman"/>
          <w:color w:val="000000"/>
          <w:sz w:val="24"/>
          <w:szCs w:val="24"/>
          <w:shd w:fill="FFFFFF" w:val="clear"/>
        </w:rPr>
        <w:t>установка</w:t>
      </w:r>
      <w:r>
        <w:rPr>
          <w:rFonts w:eastAsia="Times New Roman"/>
          <w:color w:val="000000"/>
          <w:sz w:val="24"/>
          <w:szCs w:val="24"/>
        </w:rPr>
        <w:t xml:space="preserve"> должна соответствовать следующим требованиям: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ГОСТ 12.2.003-91. «ССБТ. Оборудование производственное. Общие требования безопасности»;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ГОСТ 12.2.061-81. «ССБТ. Оборудование производственное. Общие требования безопасности к рабочим местам»;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ГОСТ 12.2.062-81. «ССБТ. Оборудование производственное. Ограждения защитные»;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ГОСТ 12.1030-81. «ССБТ. Электробезопасность. Защитное заземление, зануление»;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    </w:t>
      </w:r>
      <w:r>
        <w:rPr>
          <w:rFonts w:eastAsia="Times New Roman"/>
          <w:color w:val="000000"/>
          <w:sz w:val="24"/>
          <w:szCs w:val="24"/>
        </w:rPr>
        <w:t xml:space="preserve">При изготовлении, монтаже, наладке и эксплуатации </w:t>
      </w:r>
      <w:r>
        <w:rPr>
          <w:rFonts w:eastAsia="Times New Roman"/>
          <w:color w:val="000000"/>
          <w:sz w:val="24"/>
          <w:szCs w:val="24"/>
          <w:shd w:fill="FFFFFF" w:val="clear"/>
        </w:rPr>
        <w:t>установки</w:t>
      </w:r>
      <w:r>
        <w:rPr>
          <w:rFonts w:eastAsia="Times New Roman"/>
          <w:color w:val="000000"/>
          <w:sz w:val="24"/>
          <w:szCs w:val="24"/>
        </w:rPr>
        <w:t xml:space="preserve"> должны соблюдаться требования: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 уровни звукового давления не должны превышать допустимых значений, установленных ГОСТ 12.1.003-83 «ССБТ. Шум. Общие требования безопасности»;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  величины общей технологической вибрации на постоянных рабочих местах не должны превышать гигиенических норм, установленных ГОСТ 12.1.012-90. «ССБТ. Вибрационная безопасность. Общие требования»;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требования пожарной безопасности </w:t>
      </w:r>
      <w:r>
        <w:rPr>
          <w:rFonts w:eastAsia="Times New Roman"/>
          <w:color w:val="000000"/>
          <w:sz w:val="24"/>
          <w:szCs w:val="24"/>
          <w:shd w:fill="FFFFFF" w:val="clear"/>
        </w:rPr>
        <w:t>установки</w:t>
      </w:r>
      <w:r>
        <w:rPr>
          <w:rFonts w:eastAsia="Times New Roman"/>
          <w:color w:val="000000"/>
          <w:sz w:val="24"/>
          <w:szCs w:val="24"/>
        </w:rPr>
        <w:t xml:space="preserve"> должны соответствовать                        ГОСТ 12.1.004-91.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 xml:space="preserve"> </w:t>
      </w:r>
      <w:r>
        <w:rPr>
          <w:rFonts w:eastAsia="Times New Roman"/>
          <w:b/>
          <w:color w:val="000000"/>
          <w:sz w:val="24"/>
          <w:szCs w:val="24"/>
          <w:u w:val="single"/>
        </w:rPr>
        <w:t>Комплект поставки</w:t>
      </w:r>
      <w:r>
        <w:rPr>
          <w:rFonts w:eastAsia="Times New Roman"/>
          <w:color w:val="000000"/>
          <w:sz w:val="24"/>
          <w:szCs w:val="24"/>
        </w:rPr>
        <w:t>.</w:t>
      </w:r>
    </w:p>
    <w:p>
      <w:pPr>
        <w:pStyle w:val="Normal"/>
        <w:jc w:val="both"/>
        <w:rPr>
          <w:rFonts w:eastAsia="Times New Roman"/>
          <w:b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 xml:space="preserve">   </w:t>
      </w:r>
    </w:p>
    <w:p>
      <w:pPr>
        <w:pStyle w:val="Normal"/>
        <w:ind w:firstLine="426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   </w:t>
      </w:r>
      <w:r>
        <w:rPr>
          <w:rFonts w:eastAsia="Times New Roman"/>
          <w:color w:val="000000"/>
          <w:sz w:val="24"/>
          <w:szCs w:val="24"/>
        </w:rPr>
        <w:t>В комплект поставки входят:</w:t>
      </w:r>
    </w:p>
    <w:p>
      <w:pPr>
        <w:pStyle w:val="Normal"/>
        <w:numPr>
          <w:ilvl w:val="0"/>
          <w:numId w:val="2"/>
        </w:numPr>
        <w:spacing w:lineRule="auto" w:line="276" w:before="0" w:after="20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установка;</w:t>
      </w:r>
    </w:p>
    <w:p>
      <w:pPr>
        <w:pStyle w:val="Normal"/>
        <w:numPr>
          <w:ilvl w:val="0"/>
          <w:numId w:val="2"/>
        </w:numPr>
        <w:spacing w:lineRule="auto" w:line="276" w:before="0" w:after="20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исходная версия ПО в компьютерной базе и на флеш-накопителе;</w:t>
      </w:r>
    </w:p>
    <w:p>
      <w:pPr>
        <w:pStyle w:val="Normal"/>
        <w:numPr>
          <w:ilvl w:val="0"/>
          <w:numId w:val="2"/>
        </w:numPr>
        <w:spacing w:lineRule="auto" w:line="276" w:before="0" w:after="20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призмы для измерения спиралей без керна и призмы для измерения спиралей на керне с механизмом натяжением керна</w:t>
      </w:r>
    </w:p>
    <w:p>
      <w:pPr>
        <w:pStyle w:val="Normal"/>
        <w:numPr>
          <w:ilvl w:val="0"/>
          <w:numId w:val="2"/>
        </w:numPr>
        <w:spacing w:lineRule="auto" w:line="276" w:before="0" w:after="20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поверочные эталоны;</w:t>
      </w:r>
    </w:p>
    <w:p>
      <w:pPr>
        <w:pStyle w:val="Normal"/>
        <w:numPr>
          <w:ilvl w:val="0"/>
          <w:numId w:val="2"/>
        </w:numPr>
        <w:spacing w:lineRule="auto" w:line="276" w:before="0" w:after="20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комплект эксплуатационных документов.</w:t>
      </w:r>
    </w:p>
    <w:p>
      <w:pPr>
        <w:pStyle w:val="Normal"/>
        <w:ind w:firstLine="426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>В комплект эксплуатационных документов в соответствие с ГОСТ 2.601-2013входят:</w:t>
      </w:r>
    </w:p>
    <w:p>
      <w:pPr>
        <w:pStyle w:val="Normal"/>
        <w:numPr>
          <w:ilvl w:val="0"/>
          <w:numId w:val="3"/>
        </w:numPr>
        <w:spacing w:lineRule="auto" w:line="276" w:before="0" w:after="20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паспорт;</w:t>
      </w:r>
    </w:p>
    <w:p>
      <w:pPr>
        <w:pStyle w:val="Normal"/>
        <w:numPr>
          <w:ilvl w:val="0"/>
          <w:numId w:val="3"/>
        </w:numPr>
        <w:spacing w:lineRule="auto" w:line="276" w:before="0" w:after="20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инструкция по эксплуатации;</w:t>
      </w:r>
    </w:p>
    <w:p>
      <w:pPr>
        <w:pStyle w:val="Normal"/>
        <w:numPr>
          <w:ilvl w:val="0"/>
          <w:numId w:val="3"/>
        </w:numPr>
        <w:spacing w:lineRule="auto" w:line="276" w:before="0" w:after="20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комплект чертежей (принципиальная электрическая схема установки, поблочные электрические схемы, кинематическая схема станка с поузловыми чертежами механизмов и сменных и быстроизнашивающихся деталей);</w:t>
      </w:r>
    </w:p>
    <w:p>
      <w:pPr>
        <w:pStyle w:val="Normal"/>
        <w:numPr>
          <w:ilvl w:val="0"/>
          <w:numId w:val="3"/>
        </w:numPr>
        <w:spacing w:lineRule="auto" w:line="276" w:before="0" w:after="20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методика проверки технологической точности установки в процессе эксплуатации.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   </w:t>
      </w:r>
      <w:r>
        <w:rPr>
          <w:rFonts w:eastAsia="Times New Roman"/>
          <w:color w:val="000000"/>
          <w:sz w:val="24"/>
          <w:szCs w:val="24"/>
        </w:rPr>
        <w:t>Изготовленная установка не должна содержать узлов, деталей, комплектующих и др., бывших в употреблении.</w:t>
      </w:r>
    </w:p>
    <w:p>
      <w:pPr>
        <w:pStyle w:val="Normal"/>
        <w:spacing w:before="0" w:after="0"/>
        <w:ind w:left="284" w:hanging="0"/>
        <w:contextualSpacing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Настоящие технические требования могут уточняться и корректироваться по согласованию сторон.</w:t>
      </w:r>
    </w:p>
    <w:p>
      <w:pPr>
        <w:pStyle w:val="Normal"/>
        <w:jc w:val="both"/>
        <w:rPr>
          <w:rFonts w:eastAsia="Times New Roman"/>
          <w:b/>
          <w:b/>
          <w:color w:val="000000"/>
          <w:sz w:val="24"/>
          <w:szCs w:val="24"/>
          <w:u w:val="single"/>
        </w:rPr>
      </w:pPr>
      <w:r>
        <w:rPr>
          <w:rFonts w:eastAsia="Times New Roman"/>
          <w:b/>
          <w:color w:val="000000"/>
          <w:sz w:val="24"/>
          <w:szCs w:val="24"/>
          <w:u w:val="single"/>
        </w:rPr>
        <w:t>Основные этапы выполнения работ.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согласование технических требований с заказчиком по каждому пункту;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разработка рабочих чертежей;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корректировка рабочих чертежей; 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изготовление  установки  контроля спиралей;</w:t>
      </w:r>
    </w:p>
    <w:p>
      <w:pPr>
        <w:pStyle w:val="Normal"/>
        <w:ind w:left="142" w:hanging="142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проверка работоспособности </w:t>
      </w:r>
      <w:r>
        <w:rPr>
          <w:rFonts w:eastAsia="Times New Roman"/>
          <w:color w:val="000000"/>
          <w:sz w:val="24"/>
          <w:szCs w:val="24"/>
          <w:shd w:fill="FFFFFF" w:val="clear"/>
        </w:rPr>
        <w:t>установки</w:t>
      </w:r>
      <w:r>
        <w:rPr>
          <w:rFonts w:eastAsia="Times New Roman"/>
          <w:color w:val="000000"/>
          <w:sz w:val="24"/>
          <w:szCs w:val="24"/>
        </w:rPr>
        <w:t xml:space="preserve"> на исполнение технических             характеристик согласно ТЗ на площадке производителя;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поставка </w:t>
      </w:r>
      <w:r>
        <w:rPr>
          <w:rFonts w:eastAsia="Times New Roman"/>
          <w:color w:val="000000"/>
          <w:sz w:val="24"/>
          <w:szCs w:val="24"/>
          <w:shd w:fill="FFFFFF" w:val="clear"/>
        </w:rPr>
        <w:t>установки</w:t>
      </w:r>
      <w:r>
        <w:rPr>
          <w:rFonts w:eastAsia="Times New Roman"/>
          <w:color w:val="000000"/>
          <w:sz w:val="24"/>
          <w:szCs w:val="24"/>
        </w:rPr>
        <w:t>;</w:t>
      </w:r>
    </w:p>
    <w:p>
      <w:pPr>
        <w:pStyle w:val="Normal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 пусконаладочные работы на площадке заказчика;</w:t>
      </w:r>
    </w:p>
    <w:p>
      <w:pPr>
        <w:pStyle w:val="Normal"/>
        <w:ind w:left="142" w:hanging="142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проверка работоспособности </w:t>
      </w:r>
      <w:r>
        <w:rPr>
          <w:rFonts w:eastAsia="Times New Roman"/>
          <w:color w:val="000000"/>
          <w:sz w:val="24"/>
          <w:szCs w:val="24"/>
          <w:shd w:fill="FFFFFF" w:val="clear"/>
        </w:rPr>
        <w:t>установки</w:t>
      </w:r>
      <w:r>
        <w:rPr>
          <w:rFonts w:eastAsia="Times New Roman"/>
          <w:color w:val="000000"/>
          <w:sz w:val="24"/>
          <w:szCs w:val="24"/>
        </w:rPr>
        <w:t xml:space="preserve"> на исполнение технических характеристик согласно ТЗ на площадке заказчика (принимается комиссией, назначенной директором</w:t>
      </w:r>
      <w:r>
        <w:rPr>
          <w:rFonts w:eastAsia="Times New Roman"/>
          <w:color w:val="000000"/>
          <w:sz w:val="22"/>
          <w:szCs w:val="22"/>
        </w:rPr>
        <w:t xml:space="preserve"> НПЦ «Электронные Системы» АО «НПП «Алмаз»)</w:t>
      </w:r>
      <w:r>
        <w:rPr>
          <w:rFonts w:eastAsia="Times New Roman"/>
          <w:color w:val="000000"/>
          <w:sz w:val="24"/>
          <w:szCs w:val="24"/>
        </w:rPr>
        <w:t>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8"/>
          <w:szCs w:val="28"/>
        </w:rPr>
        <w:t xml:space="preserve">     </w:t>
      </w:r>
      <w:r>
        <w:rPr>
          <w:rFonts w:eastAsia="Times New Roman"/>
          <w:sz w:val="24"/>
          <w:szCs w:val="24"/>
        </w:rPr>
        <w:t xml:space="preserve">Товар должен принадлежать Поставщику на праве собственности, должен быть новым, не бывшим в употреблении, не восстановленным, не контрафактным, без дефектов материала и изготовления, не переделанным, не поврежденным, не ранее 2020 года выпуска, выпущенным к свободному обращению на территории Российской Федерации без каких-либо ограничений (залог, запрет, арест, т.п.), не являться предметом спора третьих лиц. </w:t>
      </w:r>
    </w:p>
    <w:p>
      <w:pPr>
        <w:pStyle w:val="Normal"/>
        <w:spacing w:lineRule="auto" w:line="276"/>
        <w:rPr/>
      </w:pPr>
      <w:r>
        <w:rPr/>
      </w:r>
    </w:p>
    <w:sectPr>
      <w:type w:val="nextPage"/>
      <w:pgSz w:w="11906" w:h="16838"/>
      <w:pgMar w:left="993" w:right="424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decimal"/>
      <w:lvlText w:val="%1."/>
      <w:lvlJc w:val="left"/>
      <w:pPr>
        <w:tabs>
          <w:tab w:val="num" w:pos="1138"/>
        </w:tabs>
        <w:ind w:left="1138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decimal"/>
      <w:lvlText w:val="%1.%3."/>
      <w:lvlJc w:val="left"/>
      <w:pPr>
        <w:tabs>
          <w:tab w:val="num" w:pos="1997"/>
        </w:tabs>
        <w:ind w:left="1997" w:hanging="1997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pacing w:val="0"/>
        <w:i w:val="false"/>
        <w:u w:val="none"/>
        <w:b/>
        <w:kern w:val="0"/>
        <w:iCs w:val="false"/>
        <w:bCs w:val="false"/>
        <w:em w:val="none"/>
        <w:vanish w:val="false"/>
        <w:rFonts w:cs="Times New Roman"/>
        <w:color w:val="000000"/>
      </w:rPr>
    </w:lvl>
    <w:lvl w:ilvl="3">
      <w:start w:val="1"/>
      <w:pStyle w:val="4"/>
      <w:numFmt w:val="decimal"/>
      <w:lvlText w:val="%1.%3.%4."/>
      <w:lvlJc w:val="left"/>
      <w:pPr>
        <w:tabs>
          <w:tab w:val="num" w:pos="11340"/>
        </w:tabs>
        <w:ind w:left="624" w:hanging="-113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pacing w:val="0"/>
        <w:i/>
        <w:u w:val="none"/>
        <w:b/>
        <w:kern w:val="0"/>
        <w:szCs w:val="0"/>
        <w:iCs w:val="false"/>
        <w:bCs w:val="false"/>
        <w:em w:val="none"/>
        <w:w w:val="100"/>
        <w:vanish w:val="false"/>
        <w:rFonts w:cs="Times New Roman"/>
        <w:color w:val="000000"/>
      </w:rPr>
    </w:lvl>
    <w:lvl w:ilvl="4">
      <w:start w:val="1"/>
      <w:pStyle w:val="5"/>
      <w:numFmt w:val="decimal"/>
      <w:lvlText w:val="%1.%3.%4.%5"/>
      <w:lvlJc w:val="left"/>
      <w:pPr>
        <w:tabs>
          <w:tab w:val="num" w:pos="1714"/>
        </w:tabs>
        <w:ind w:left="1714" w:hanging="1008"/>
      </w:pPr>
    </w:lvl>
    <w:lvl w:ilvl="5">
      <w:start w:val="1"/>
      <w:pStyle w:val="6"/>
      <w:numFmt w:val="decimal"/>
      <w:lvlText w:val="%1.%3.%4.%5.%6"/>
      <w:lvlJc w:val="left"/>
      <w:pPr>
        <w:tabs>
          <w:tab w:val="num" w:pos="1858"/>
        </w:tabs>
        <w:ind w:left="1858" w:hanging="1152"/>
      </w:pPr>
    </w:lvl>
    <w:lvl w:ilvl="6">
      <w:start w:val="1"/>
      <w:pStyle w:val="7"/>
      <w:numFmt w:val="decimal"/>
      <w:lvlText w:val="%1.%3.%4.%5.%6.%7"/>
      <w:lvlJc w:val="left"/>
      <w:pPr>
        <w:tabs>
          <w:tab w:val="num" w:pos="2002"/>
        </w:tabs>
        <w:ind w:left="2002" w:hanging="1296"/>
      </w:pPr>
    </w:lvl>
    <w:lvl w:ilvl="7">
      <w:start w:val="1"/>
      <w:pStyle w:val="8"/>
      <w:numFmt w:val="decimal"/>
      <w:lvlText w:val="%1.%3.%4.%5.%6.%7.%8"/>
      <w:lvlJc w:val="left"/>
      <w:pPr>
        <w:tabs>
          <w:tab w:val="num" w:pos="2146"/>
        </w:tabs>
        <w:ind w:left="2146" w:hanging="1440"/>
      </w:pPr>
    </w:lvl>
    <w:lvl w:ilvl="8">
      <w:start w:val="1"/>
      <w:pStyle w:val="9"/>
      <w:numFmt w:val="decimal"/>
      <w:lvlText w:val="%1.%3.%4.%5.%6.%7.%8.%9"/>
      <w:lvlJc w:val="left"/>
      <w:pPr>
        <w:tabs>
          <w:tab w:val="num" w:pos="2290"/>
        </w:tabs>
        <w:ind w:left="2290" w:hanging="1584"/>
      </w:pPr>
    </w:lvl>
  </w:abstractNum>
  <w:abstractNum w:abstractNumId="2"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55940"/>
    <w:pPr>
      <w:widowControl/>
      <w:bidi w:val="0"/>
      <w:spacing w:lineRule="auto" w:line="240" w:before="0" w:after="0"/>
      <w:jc w:val="left"/>
    </w:pPr>
    <w:rPr>
      <w:rFonts w:ascii="Times New Roman" w:hAnsi="Times New Roman" w:eastAsia="MS Mincho" w:cs="Times New Roman"/>
      <w:color w:val="auto"/>
      <w:kern w:val="0"/>
      <w:sz w:val="20"/>
      <w:szCs w:val="20"/>
      <w:lang w:eastAsia="ru-RU" w:val="ru-RU" w:bidi="ar-SA"/>
    </w:rPr>
  </w:style>
  <w:style w:type="paragraph" w:styleId="1">
    <w:name w:val="Heading 1"/>
    <w:basedOn w:val="Normal"/>
    <w:link w:val="11"/>
    <w:qFormat/>
    <w:rsid w:val="00893a70"/>
    <w:pPr>
      <w:keepNext w:val="true"/>
      <w:keepLines/>
      <w:pageBreakBefore/>
      <w:numPr>
        <w:ilvl w:val="0"/>
        <w:numId w:val="1"/>
      </w:numPr>
      <w:suppressAutoHyphens w:val="true"/>
      <w:spacing w:before="480" w:after="240"/>
      <w:outlineLvl w:val="0"/>
    </w:pPr>
    <w:rPr>
      <w:rFonts w:eastAsia="Batang"/>
      <w:b/>
      <w:bCs/>
      <w:caps/>
      <w:kern w:val="2"/>
      <w:sz w:val="32"/>
      <w:szCs w:val="32"/>
      <w:lang w:eastAsia="en-US"/>
    </w:rPr>
  </w:style>
  <w:style w:type="paragraph" w:styleId="2">
    <w:name w:val="Heading 2"/>
    <w:basedOn w:val="Normal"/>
    <w:link w:val="21"/>
    <w:autoRedefine/>
    <w:qFormat/>
    <w:rsid w:val="0030236a"/>
    <w:pPr>
      <w:keepNext w:val="true"/>
      <w:shd w:val="clear" w:color="auto" w:fill="FFFFFF"/>
      <w:spacing w:before="0" w:after="60"/>
      <w:ind w:left="1287" w:hanging="578"/>
      <w:jc w:val="both"/>
      <w:outlineLvl w:val="1"/>
    </w:pPr>
    <w:rPr>
      <w:rFonts w:eastAsia="Batang"/>
      <w:b/>
      <w:iCs/>
      <w:color w:val="000000"/>
      <w:kern w:val="2"/>
      <w:sz w:val="24"/>
      <w:szCs w:val="30"/>
      <w:lang w:eastAsia="en-US"/>
    </w:rPr>
  </w:style>
  <w:style w:type="paragraph" w:styleId="3">
    <w:name w:val="Heading 3"/>
    <w:basedOn w:val="1"/>
    <w:link w:val="30"/>
    <w:autoRedefine/>
    <w:qFormat/>
    <w:rsid w:val="00893a70"/>
    <w:pPr>
      <w:pageBreakBefore w:val="false"/>
      <w:numPr>
        <w:ilvl w:val="2"/>
        <w:numId w:val="1"/>
      </w:numPr>
      <w:tabs>
        <w:tab w:val="left" w:pos="1560" w:leader="none"/>
      </w:tabs>
      <w:spacing w:before="360" w:after="240"/>
      <w:ind w:left="2705" w:hanging="1996"/>
      <w:contextualSpacing/>
      <w:outlineLvl w:val="2"/>
    </w:pPr>
    <w:rPr>
      <w:bCs w:val="false"/>
      <w:caps w:val="false"/>
      <w:smallCaps w:val="false"/>
      <w:sz w:val="28"/>
      <w:szCs w:val="28"/>
    </w:rPr>
  </w:style>
  <w:style w:type="paragraph" w:styleId="4">
    <w:name w:val="Heading 4"/>
    <w:basedOn w:val="1"/>
    <w:link w:val="40"/>
    <w:autoRedefine/>
    <w:uiPriority w:val="9"/>
    <w:qFormat/>
    <w:rsid w:val="00893a70"/>
    <w:pPr>
      <w:keepLines w:val="false"/>
      <w:pageBreakBefore w:val="false"/>
      <w:numPr>
        <w:ilvl w:val="3"/>
        <w:numId w:val="1"/>
      </w:numPr>
      <w:tabs>
        <w:tab w:val="left" w:pos="1701" w:leader="none"/>
      </w:tabs>
      <w:spacing w:before="240" w:after="120"/>
      <w:jc w:val="both"/>
      <w:outlineLvl w:val="3"/>
    </w:pPr>
    <w:rPr>
      <w:bCs w:val="false"/>
      <w:i/>
      <w:caps w:val="false"/>
      <w:smallCaps w:val="false"/>
      <w:sz w:val="24"/>
      <w:szCs w:val="28"/>
    </w:rPr>
  </w:style>
  <w:style w:type="paragraph" w:styleId="5">
    <w:name w:val="Heading 5"/>
    <w:basedOn w:val="Normal"/>
    <w:link w:val="50"/>
    <w:qFormat/>
    <w:rsid w:val="00893a70"/>
    <w:pPr>
      <w:numPr>
        <w:ilvl w:val="4"/>
        <w:numId w:val="1"/>
      </w:numPr>
      <w:spacing w:lineRule="auto" w:line="360"/>
      <w:jc w:val="both"/>
      <w:outlineLvl w:val="4"/>
    </w:pPr>
    <w:rPr>
      <w:rFonts w:eastAsia="Batang"/>
      <w:sz w:val="24"/>
      <w:szCs w:val="24"/>
      <w:lang w:eastAsia="en-US"/>
    </w:rPr>
  </w:style>
  <w:style w:type="paragraph" w:styleId="6">
    <w:name w:val="Heading 6"/>
    <w:basedOn w:val="Normal"/>
    <w:link w:val="60"/>
    <w:unhideWhenUsed/>
    <w:qFormat/>
    <w:rsid w:val="00893a70"/>
    <w:pPr>
      <w:numPr>
        <w:ilvl w:val="5"/>
        <w:numId w:val="1"/>
      </w:numPr>
      <w:spacing w:lineRule="auto" w:line="360"/>
      <w:jc w:val="both"/>
      <w:outlineLvl w:val="5"/>
    </w:pPr>
    <w:rPr>
      <w:rFonts w:eastAsia="Batang"/>
      <w:bCs/>
      <w:sz w:val="24"/>
      <w:szCs w:val="24"/>
      <w:lang w:eastAsia="en-US"/>
    </w:rPr>
  </w:style>
  <w:style w:type="paragraph" w:styleId="7">
    <w:name w:val="Heading 7"/>
    <w:basedOn w:val="1"/>
    <w:link w:val="70"/>
    <w:unhideWhenUsed/>
    <w:qFormat/>
    <w:rsid w:val="00893a70"/>
    <w:pPr>
      <w:keepNext w:val="false"/>
      <w:keepLines w:val="false"/>
      <w:pageBreakBefore w:val="false"/>
      <w:numPr>
        <w:ilvl w:val="6"/>
        <w:numId w:val="1"/>
      </w:numPr>
      <w:spacing w:lineRule="auto" w:line="288" w:before="480" w:after="0"/>
      <w:jc w:val="both"/>
      <w:outlineLvl w:val="6"/>
    </w:pPr>
    <w:rPr>
      <w:b w:val="false"/>
      <w:kern w:val="0"/>
      <w:sz w:val="20"/>
      <w:szCs w:val="20"/>
    </w:rPr>
  </w:style>
  <w:style w:type="paragraph" w:styleId="8">
    <w:name w:val="Heading 8"/>
    <w:basedOn w:val="1"/>
    <w:link w:val="80"/>
    <w:unhideWhenUsed/>
    <w:qFormat/>
    <w:rsid w:val="00893a70"/>
    <w:pPr>
      <w:pageBreakBefore w:val="false"/>
      <w:numPr>
        <w:ilvl w:val="7"/>
        <w:numId w:val="1"/>
      </w:numPr>
      <w:spacing w:lineRule="auto" w:line="288" w:before="240" w:after="200"/>
      <w:contextualSpacing/>
      <w:outlineLvl w:val="7"/>
    </w:pPr>
    <w:rPr>
      <w:b w:val="false"/>
      <w:iCs/>
      <w:sz w:val="20"/>
      <w:szCs w:val="20"/>
    </w:rPr>
  </w:style>
  <w:style w:type="paragraph" w:styleId="9">
    <w:name w:val="Heading 9"/>
    <w:basedOn w:val="1"/>
    <w:link w:val="90"/>
    <w:unhideWhenUsed/>
    <w:qFormat/>
    <w:rsid w:val="00893a70"/>
    <w:pPr>
      <w:pageBreakBefore w:val="false"/>
      <w:numPr>
        <w:ilvl w:val="8"/>
        <w:numId w:val="1"/>
      </w:numPr>
      <w:spacing w:lineRule="auto" w:line="288" w:before="240" w:after="120"/>
      <w:contextualSpacing/>
      <w:jc w:val="both"/>
      <w:outlineLvl w:val="8"/>
    </w:pPr>
    <w:rPr>
      <w:b w:val="false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5" w:customStyle="1">
    <w:name w:val="Нижний колонтитул Знак"/>
    <w:basedOn w:val="DefaultParagraphFont"/>
    <w:link w:val="a5"/>
    <w:qFormat/>
    <w:rsid w:val="008a136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6" w:customStyle="1">
    <w:name w:val="Текст Знак"/>
    <w:basedOn w:val="DefaultParagraphFont"/>
    <w:link w:val="a7"/>
    <w:uiPriority w:val="99"/>
    <w:qFormat/>
    <w:rsid w:val="008a1360"/>
    <w:rPr>
      <w:rFonts w:ascii="Calibri" w:hAnsi="Calibri"/>
      <w:szCs w:val="21"/>
    </w:rPr>
  </w:style>
  <w:style w:type="character" w:styleId="Style7" w:customStyle="1">
    <w:name w:val="Основной текст Знак"/>
    <w:basedOn w:val="DefaultParagraphFont"/>
    <w:link w:val="a9"/>
    <w:qFormat/>
    <w:rsid w:val="008a1360"/>
    <w:rPr>
      <w:rFonts w:ascii="Arial" w:hAnsi="Arial" w:eastAsia="Times New Roman" w:cs="Times New Roman"/>
      <w:b/>
      <w:bCs/>
      <w:sz w:val="24"/>
      <w:szCs w:val="20"/>
      <w:lang w:eastAsia="ru-RU"/>
    </w:rPr>
  </w:style>
  <w:style w:type="character" w:styleId="Style8" w:customStyle="1">
    <w:name w:val="Текст выноски Знак"/>
    <w:basedOn w:val="DefaultParagraphFont"/>
    <w:link w:val="ac"/>
    <w:uiPriority w:val="99"/>
    <w:semiHidden/>
    <w:qFormat/>
    <w:rsid w:val="00db0ee8"/>
    <w:rPr>
      <w:rFonts w:ascii="Tahoma" w:hAnsi="Tahoma" w:eastAsia="MS Mincho" w:cs="Tahoma"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qFormat/>
    <w:rsid w:val="00893a70"/>
    <w:rPr>
      <w:rFonts w:ascii="Times New Roman" w:hAnsi="Times New Roman" w:eastAsia="Batang" w:cs="Times New Roman"/>
      <w:b/>
      <w:bCs/>
      <w:caps/>
      <w:kern w:val="2"/>
      <w:sz w:val="32"/>
      <w:szCs w:val="32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893a70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  <w:lang w:eastAsia="ru-RU"/>
    </w:rPr>
  </w:style>
  <w:style w:type="character" w:styleId="31" w:customStyle="1">
    <w:name w:val="Заголовок 3 Знак"/>
    <w:basedOn w:val="DefaultParagraphFont"/>
    <w:link w:val="3"/>
    <w:qFormat/>
    <w:rsid w:val="00893a70"/>
    <w:rPr>
      <w:rFonts w:ascii="Times New Roman" w:hAnsi="Times New Roman" w:eastAsia="Batang" w:cs="Times New Roman"/>
      <w:b/>
      <w:kern w:val="2"/>
      <w:sz w:val="28"/>
      <w:szCs w:val="28"/>
    </w:rPr>
  </w:style>
  <w:style w:type="character" w:styleId="41" w:customStyle="1">
    <w:name w:val="Заголовок 4 Знак"/>
    <w:basedOn w:val="DefaultParagraphFont"/>
    <w:link w:val="4"/>
    <w:uiPriority w:val="9"/>
    <w:qFormat/>
    <w:rsid w:val="00893a70"/>
    <w:rPr>
      <w:rFonts w:ascii="Times New Roman" w:hAnsi="Times New Roman" w:eastAsia="Batang" w:cs="Times New Roman"/>
      <w:b/>
      <w:i/>
      <w:kern w:val="2"/>
      <w:sz w:val="24"/>
      <w:szCs w:val="28"/>
    </w:rPr>
  </w:style>
  <w:style w:type="character" w:styleId="51" w:customStyle="1">
    <w:name w:val="Заголовок 5 Знак"/>
    <w:basedOn w:val="DefaultParagraphFont"/>
    <w:link w:val="5"/>
    <w:qFormat/>
    <w:rsid w:val="00893a70"/>
    <w:rPr>
      <w:rFonts w:ascii="Times New Roman" w:hAnsi="Times New Roman" w:eastAsia="Batang" w:cs="Times New Roman"/>
      <w:sz w:val="24"/>
      <w:szCs w:val="24"/>
    </w:rPr>
  </w:style>
  <w:style w:type="character" w:styleId="61" w:customStyle="1">
    <w:name w:val="Заголовок 6 Знак"/>
    <w:basedOn w:val="DefaultParagraphFont"/>
    <w:link w:val="6"/>
    <w:qFormat/>
    <w:rsid w:val="00893a70"/>
    <w:rPr>
      <w:rFonts w:ascii="Times New Roman" w:hAnsi="Times New Roman" w:eastAsia="Batang" w:cs="Times New Roman"/>
      <w:bCs/>
      <w:sz w:val="24"/>
      <w:szCs w:val="24"/>
    </w:rPr>
  </w:style>
  <w:style w:type="character" w:styleId="71" w:customStyle="1">
    <w:name w:val="Заголовок 7 Знак"/>
    <w:basedOn w:val="DefaultParagraphFont"/>
    <w:link w:val="7"/>
    <w:qFormat/>
    <w:rsid w:val="00893a70"/>
    <w:rPr>
      <w:rFonts w:ascii="Times New Roman" w:hAnsi="Times New Roman" w:eastAsia="Batang" w:cs="Times New Roman"/>
      <w:bCs/>
      <w:caps/>
      <w:sz w:val="20"/>
      <w:szCs w:val="20"/>
    </w:rPr>
  </w:style>
  <w:style w:type="character" w:styleId="81" w:customStyle="1">
    <w:name w:val="Заголовок 8 Знак"/>
    <w:basedOn w:val="DefaultParagraphFont"/>
    <w:link w:val="8"/>
    <w:qFormat/>
    <w:rsid w:val="00893a70"/>
    <w:rPr>
      <w:rFonts w:ascii="Times New Roman" w:hAnsi="Times New Roman" w:eastAsia="Batang" w:cs="Times New Roman"/>
      <w:bCs/>
      <w:iCs/>
      <w:caps/>
      <w:kern w:val="2"/>
      <w:sz w:val="20"/>
      <w:szCs w:val="20"/>
    </w:rPr>
  </w:style>
  <w:style w:type="character" w:styleId="91" w:customStyle="1">
    <w:name w:val="Заголовок 9 Знак"/>
    <w:basedOn w:val="DefaultParagraphFont"/>
    <w:link w:val="9"/>
    <w:qFormat/>
    <w:rsid w:val="00893a70"/>
    <w:rPr>
      <w:rFonts w:ascii="Times New Roman" w:hAnsi="Times New Roman" w:eastAsia="Batang" w:cs="Times New Roman"/>
      <w:bCs/>
      <w:caps/>
      <w:kern w:val="2"/>
      <w:sz w:val="20"/>
      <w:szCs w:val="20"/>
    </w:rPr>
  </w:style>
  <w:style w:type="character" w:styleId="Style9" w:customStyle="1">
    <w:name w:val="Обычный. Список. Знак"/>
    <w:link w:val="ae"/>
    <w:qFormat/>
    <w:rsid w:val="00893a70"/>
    <w:rPr>
      <w:rFonts w:ascii="Times New Roman" w:hAnsi="Times New Roman" w:eastAsia="Batang" w:cs="Times New Roman"/>
      <w:sz w:val="24"/>
      <w:szCs w:val="24"/>
    </w:rPr>
  </w:style>
  <w:style w:type="character" w:styleId="211" w:customStyle="1">
    <w:name w:val="Заголовок 2 Знак1"/>
    <w:link w:val="2"/>
    <w:qFormat/>
    <w:rsid w:val="0030236a"/>
    <w:rPr>
      <w:rFonts w:ascii="Times New Roman" w:hAnsi="Times New Roman" w:eastAsia="Batang" w:cs="Times New Roman"/>
      <w:iCs/>
      <w:color w:val="000000"/>
      <w:kern w:val="2"/>
      <w:sz w:val="24"/>
      <w:szCs w:val="30"/>
      <w:shd w:fill="FFFFFF" w:val="clear"/>
    </w:rPr>
  </w:style>
  <w:style w:type="character" w:styleId="ListLabel1">
    <w:name w:val="ListLabel 1"/>
    <w:qFormat/>
    <w:rPr>
      <w:rFonts w:cs="Calibri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vanish w:val="false"/>
      <w:color w:val="auto"/>
      <w:spacing w:val="0"/>
      <w:w w:val="100"/>
      <w:kern w:val="0"/>
      <w:position w:val="0"/>
      <w:sz w:val="22"/>
      <w:sz w:val="22"/>
      <w:szCs w:val="22"/>
      <w:u w:val="none"/>
      <w:vertAlign w:val="baseline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sz w:val="18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w w:val="100"/>
      <w:kern w:val="0"/>
      <w:position w:val="0"/>
      <w:sz w:val="20"/>
      <w:szCs w:val="0"/>
      <w:u w:val="none"/>
      <w:vertAlign w:val="baseline"/>
      <w:em w:val="none"/>
    </w:rPr>
  </w:style>
  <w:style w:type="character" w:styleId="ListLabel15">
    <w:name w:val="ListLabel 15"/>
    <w:qFormat/>
    <w:rPr>
      <w:rFonts w:cs="Times New Roman"/>
      <w:b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kern w:val="0"/>
      <w:position w:val="0"/>
      <w:sz w:val="20"/>
      <w:u w:val="none"/>
      <w:vertAlign w:val="baseline"/>
      <w:em w:val="none"/>
    </w:rPr>
  </w:style>
  <w:style w:type="character" w:styleId="ListLabel16">
    <w:name w:val="ListLabel 16"/>
    <w:qFormat/>
    <w:rPr>
      <w:rFonts w:cs="Times New Roman"/>
      <w:b/>
      <w:bCs w:val="false"/>
      <w:i/>
      <w:iCs w:val="false"/>
      <w:caps w:val="false"/>
      <w:smallCaps w:val="false"/>
      <w:strike w:val="false"/>
      <w:dstrike w:val="false"/>
      <w:vanish w:val="false"/>
      <w:color w:val="000000"/>
      <w:spacing w:val="0"/>
      <w:w w:val="100"/>
      <w:kern w:val="0"/>
      <w:position w:val="0"/>
      <w:sz w:val="20"/>
      <w:szCs w:val="0"/>
      <w:u w:val="none"/>
      <w:vertAlign w:val="baseline"/>
      <w:em w:val="none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rFonts w:cs="Courier New"/>
    </w:rPr>
  </w:style>
  <w:style w:type="character" w:styleId="ListLabel162">
    <w:name w:val="ListLabel 162"/>
    <w:qFormat/>
    <w:rPr>
      <w:rFonts w:cs="Courier New"/>
    </w:rPr>
  </w:style>
  <w:style w:type="character" w:styleId="ListLabel163">
    <w:name w:val="ListLabel 163"/>
    <w:qFormat/>
    <w:rPr>
      <w:rFonts w:cs="Courier New"/>
    </w:rPr>
  </w:style>
  <w:style w:type="character" w:styleId="ListLabel164">
    <w:name w:val="ListLabel 164"/>
    <w:qFormat/>
    <w:rPr>
      <w:rFonts w:eastAsia="Times New Roman" w:cs="Calibri"/>
    </w:rPr>
  </w:style>
  <w:style w:type="character" w:styleId="ListLabel165">
    <w:name w:val="ListLabel 165"/>
    <w:qFormat/>
    <w:rPr>
      <w:rFonts w:cs="Courier New"/>
    </w:rPr>
  </w:style>
  <w:style w:type="character" w:styleId="ListLabel166">
    <w:name w:val="ListLabel 166"/>
    <w:qFormat/>
    <w:rPr>
      <w:rFonts w:cs="Courier New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rFonts w:cs="Courier New"/>
    </w:rPr>
  </w:style>
  <w:style w:type="character" w:styleId="ListLabel177">
    <w:name w:val="ListLabel 177"/>
    <w:qFormat/>
    <w:rPr>
      <w:rFonts w:cs="Courier New"/>
    </w:rPr>
  </w:style>
  <w:style w:type="character" w:styleId="ListLabel178">
    <w:name w:val="ListLabel 178"/>
    <w:qFormat/>
    <w:rPr>
      <w:rFonts w:cs="Courier New"/>
    </w:rPr>
  </w:style>
  <w:style w:type="character" w:styleId="ListLabel179">
    <w:name w:val="ListLabel 179"/>
    <w:qFormat/>
    <w:rPr>
      <w:rFonts w:cs="Courier New"/>
    </w:rPr>
  </w:style>
  <w:style w:type="character" w:styleId="ListLabel180">
    <w:name w:val="ListLabel 180"/>
    <w:qFormat/>
    <w:rPr>
      <w:rFonts w:cs="Courier New"/>
    </w:rPr>
  </w:style>
  <w:style w:type="character" w:styleId="ListLabel181">
    <w:name w:val="ListLabel 181"/>
    <w:qFormat/>
    <w:rPr>
      <w:rFonts w:cs="Courier New"/>
    </w:rPr>
  </w:style>
  <w:style w:type="character" w:styleId="ListLabel182">
    <w:name w:val="ListLabel 182"/>
    <w:qFormat/>
    <w:rPr>
      <w:rFonts w:cs="Courier New"/>
    </w:rPr>
  </w:style>
  <w:style w:type="character" w:styleId="ListLabel183">
    <w:name w:val="ListLabel 183"/>
    <w:qFormat/>
    <w:rPr>
      <w:rFonts w:cs="Courier New"/>
    </w:rPr>
  </w:style>
  <w:style w:type="character" w:styleId="ListLabel184">
    <w:name w:val="ListLabel 184"/>
    <w:qFormat/>
    <w:rPr>
      <w:rFonts w:cs="Courier New"/>
    </w:rPr>
  </w:style>
  <w:style w:type="character" w:styleId="ListLabel185">
    <w:name w:val="ListLabel 185"/>
    <w:qFormat/>
    <w:rPr>
      <w:b/>
      <w:sz w:val="24"/>
    </w:rPr>
  </w:style>
  <w:style w:type="character" w:styleId="ListLabel186">
    <w:name w:val="ListLabel 186"/>
    <w:qFormat/>
    <w:rPr>
      <w:rFonts w:cs="Times New Roman"/>
    </w:rPr>
  </w:style>
  <w:style w:type="character" w:styleId="ListLabel187">
    <w:name w:val="ListLabel 187"/>
    <w:qFormat/>
    <w:rPr>
      <w:rFonts w:cs="Courier New"/>
    </w:rPr>
  </w:style>
  <w:style w:type="character" w:styleId="ListLabel188">
    <w:name w:val="ListLabel 188"/>
    <w:qFormat/>
    <w:rPr>
      <w:rFonts w:cs="Courier New"/>
    </w:rPr>
  </w:style>
  <w:style w:type="character" w:styleId="ListLabel189">
    <w:name w:val="ListLabel 189"/>
    <w:qFormat/>
    <w:rPr>
      <w:rFonts w:cs="Courier New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rFonts w:cs="Courier New"/>
    </w:rPr>
  </w:style>
  <w:style w:type="character" w:styleId="ListLabel209">
    <w:name w:val="ListLabel 209"/>
    <w:qFormat/>
    <w:rPr>
      <w:rFonts w:cs="Courier New"/>
    </w:rPr>
  </w:style>
  <w:style w:type="character" w:styleId="ListLabel210">
    <w:name w:val="ListLabel 210"/>
    <w:qFormat/>
    <w:rPr>
      <w:rFonts w:cs="Courier New"/>
    </w:rPr>
  </w:style>
  <w:style w:type="character" w:styleId="ListLabel211">
    <w:name w:val="ListLabel 211"/>
    <w:qFormat/>
    <w:rPr>
      <w:rFonts w:cs="Courier New"/>
    </w:rPr>
  </w:style>
  <w:style w:type="character" w:styleId="ListLabel212">
    <w:name w:val="ListLabel 212"/>
    <w:qFormat/>
    <w:rPr>
      <w:rFonts w:cs="Courier New"/>
    </w:rPr>
  </w:style>
  <w:style w:type="character" w:styleId="ListLabel213">
    <w:name w:val="ListLabel 213"/>
    <w:qFormat/>
    <w:rPr>
      <w:rFonts w:cs="Courier New"/>
    </w:rPr>
  </w:style>
  <w:style w:type="character" w:styleId="ListLabel214">
    <w:name w:val="ListLabel 214"/>
    <w:qFormat/>
    <w:rPr>
      <w:rFonts w:cs="Courier New"/>
    </w:rPr>
  </w:style>
  <w:style w:type="character" w:styleId="ListLabel215">
    <w:name w:val="ListLabel 215"/>
    <w:qFormat/>
    <w:rPr>
      <w:rFonts w:cs="Courier New"/>
    </w:rPr>
  </w:style>
  <w:style w:type="character" w:styleId="ListLabel216">
    <w:name w:val="ListLabel 216"/>
    <w:qFormat/>
    <w:rPr>
      <w:rFonts w:cs="Courier New"/>
    </w:rPr>
  </w:style>
  <w:style w:type="character" w:styleId="ListLabel217">
    <w:name w:val="ListLabel 217"/>
    <w:qFormat/>
    <w:rPr>
      <w:b/>
      <w:sz w:val="28"/>
      <w:szCs w:val="28"/>
    </w:rPr>
  </w:style>
  <w:style w:type="character" w:styleId="ListLabel218">
    <w:name w:val="ListLabel 218"/>
    <w:qFormat/>
    <w:rPr>
      <w:rFonts w:cs="Courier New"/>
    </w:rPr>
  </w:style>
  <w:style w:type="character" w:styleId="ListLabel219">
    <w:name w:val="ListLabel 219"/>
    <w:qFormat/>
    <w:rPr>
      <w:rFonts w:cs="Courier New"/>
    </w:rPr>
  </w:style>
  <w:style w:type="character" w:styleId="ListLabel220">
    <w:name w:val="ListLabel 220"/>
    <w:qFormat/>
    <w:rPr>
      <w:rFonts w:cs="Courier New"/>
    </w:rPr>
  </w:style>
  <w:style w:type="character" w:styleId="ListLabel221">
    <w:name w:val="ListLabel 221"/>
    <w:qFormat/>
    <w:rPr>
      <w:rFonts w:cs="Courier New"/>
    </w:rPr>
  </w:style>
  <w:style w:type="character" w:styleId="ListLabel222">
    <w:name w:val="ListLabel 222"/>
    <w:qFormat/>
    <w:rPr>
      <w:rFonts w:cs="Courier New"/>
    </w:rPr>
  </w:style>
  <w:style w:type="character" w:styleId="ListLabel223">
    <w:name w:val="ListLabel 223"/>
    <w:qFormat/>
    <w:rPr>
      <w:rFonts w:cs="Courier New"/>
    </w:rPr>
  </w:style>
  <w:style w:type="character" w:styleId="ListLabel224">
    <w:name w:val="ListLabel 224"/>
    <w:qFormat/>
    <w:rPr>
      <w:rFonts w:cs="Courier New"/>
    </w:rPr>
  </w:style>
  <w:style w:type="character" w:styleId="ListLabel225">
    <w:name w:val="ListLabel 225"/>
    <w:qFormat/>
    <w:rPr>
      <w:rFonts w:cs="Courier New"/>
    </w:rPr>
  </w:style>
  <w:style w:type="character" w:styleId="ListLabel226">
    <w:name w:val="ListLabel 226"/>
    <w:qFormat/>
    <w:rPr>
      <w:rFonts w:cs="Courier New"/>
    </w:rPr>
  </w:style>
  <w:style w:type="character" w:styleId="ListLabel227">
    <w:name w:val="ListLabel 227"/>
    <w:qFormat/>
    <w:rPr>
      <w:rFonts w:cs="Courier New"/>
    </w:rPr>
  </w:style>
  <w:style w:type="character" w:styleId="ListLabel228">
    <w:name w:val="ListLabel 228"/>
    <w:qFormat/>
    <w:rPr>
      <w:rFonts w:cs="Courier New"/>
    </w:rPr>
  </w:style>
  <w:style w:type="character" w:styleId="ListLabel229">
    <w:name w:val="ListLabel 229"/>
    <w:qFormat/>
    <w:rPr>
      <w:rFonts w:cs="Courier New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1">
    <w:name w:val="Body Text"/>
    <w:basedOn w:val="Normal"/>
    <w:link w:val="aa"/>
    <w:rsid w:val="008a1360"/>
    <w:pPr/>
    <w:rPr>
      <w:rFonts w:ascii="Arial" w:hAnsi="Arial" w:eastAsia="Times New Roman"/>
      <w:b/>
      <w:bCs/>
      <w:sz w:val="24"/>
    </w:rPr>
  </w:style>
  <w:style w:type="paragraph" w:styleId="Style12">
    <w:name w:val="List"/>
    <w:basedOn w:val="Style11"/>
    <w:unhideWhenUsed/>
    <w:rsid w:val="00893a70"/>
    <w:pPr>
      <w:spacing w:lineRule="auto" w:line="360"/>
      <w:jc w:val="both"/>
    </w:pPr>
    <w:rPr>
      <w:rFonts w:ascii="Times New Roman" w:hAnsi="Times New Roman" w:eastAsia="Batang"/>
      <w:b w:val="false"/>
      <w:bCs w:val="false"/>
      <w:sz w:val="20"/>
      <w:lang w:eastAsia="en-US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ucida Sans"/>
    </w:rPr>
  </w:style>
  <w:style w:type="paragraph" w:styleId="Style15">
    <w:name w:val="Footer"/>
    <w:basedOn w:val="Normal"/>
    <w:link w:val="a6"/>
    <w:rsid w:val="008a1360"/>
    <w:pPr>
      <w:tabs>
        <w:tab w:val="center" w:pos="4677" w:leader="none"/>
        <w:tab w:val="right" w:pos="9355" w:leader="none"/>
      </w:tabs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a8"/>
    <w:uiPriority w:val="99"/>
    <w:unhideWhenUsed/>
    <w:qFormat/>
    <w:rsid w:val="008a1360"/>
    <w:pPr/>
    <w:rPr>
      <w:rFonts w:ascii="Calibri" w:hAnsi="Calibri" w:eastAsia="Calibri" w:cs="" w:cstheme="minorBidi" w:eastAsiaTheme="minorHAnsi"/>
      <w:sz w:val="22"/>
      <w:szCs w:val="21"/>
      <w:lang w:eastAsia="en-US"/>
    </w:rPr>
  </w:style>
  <w:style w:type="paragraph" w:styleId="ListParagraph">
    <w:name w:val="List Paragraph"/>
    <w:basedOn w:val="Normal"/>
    <w:uiPriority w:val="34"/>
    <w:qFormat/>
    <w:rsid w:val="00713fa5"/>
    <w:pPr>
      <w:spacing w:before="0" w:after="0"/>
      <w:ind w:left="720" w:hanging="0"/>
      <w:contextualSpacing/>
    </w:pPr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ad"/>
    <w:uiPriority w:val="99"/>
    <w:semiHidden/>
    <w:unhideWhenUsed/>
    <w:qFormat/>
    <w:rsid w:val="00db0ee8"/>
    <w:pPr/>
    <w:rPr>
      <w:rFonts w:ascii="Tahoma" w:hAnsi="Tahoma" w:cs="Tahoma"/>
      <w:sz w:val="16"/>
      <w:szCs w:val="16"/>
    </w:rPr>
  </w:style>
  <w:style w:type="paragraph" w:styleId="12" w:customStyle="1">
    <w:name w:val="Абзац списка1"/>
    <w:basedOn w:val="Normal"/>
    <w:uiPriority w:val="99"/>
    <w:qFormat/>
    <w:rsid w:val="00396287"/>
    <w:pPr>
      <w:widowControl w:val="false"/>
      <w:ind w:right="34" w:hanging="0"/>
    </w:pPr>
    <w:rPr>
      <w:rFonts w:ascii="Calibri" w:hAnsi="Calibri" w:eastAsia="Calibri" w:cs="Calibri"/>
      <w:color w:val="000000"/>
      <w:sz w:val="22"/>
      <w:szCs w:val="22"/>
    </w:rPr>
  </w:style>
  <w:style w:type="paragraph" w:styleId="AN" w:customStyle="1">
    <w:name w:val="AN_Обычный"/>
    <w:basedOn w:val="Normal"/>
    <w:qFormat/>
    <w:rsid w:val="00893a70"/>
    <w:pPr>
      <w:spacing w:lineRule="auto" w:line="360"/>
      <w:ind w:firstLine="709"/>
      <w:jc w:val="both"/>
    </w:pPr>
    <w:rPr>
      <w:rFonts w:eastAsia="Times New Roman"/>
      <w:sz w:val="24"/>
      <w:szCs w:val="24"/>
    </w:rPr>
  </w:style>
  <w:style w:type="paragraph" w:styleId="Style16" w:customStyle="1">
    <w:name w:val="Обычный. Список."/>
    <w:basedOn w:val="Style12"/>
    <w:link w:val="af"/>
    <w:qFormat/>
    <w:rsid w:val="00893a70"/>
    <w:pPr/>
    <w:rPr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de4533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2"/>
    <w:uiPriority w:val="59"/>
    <w:rsid w:val="00eb3e32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2"/>
    <w:uiPriority w:val="39"/>
    <w:rsid w:val="00260537"/>
    <w:pPr>
      <w:spacing w:after="0" w:line="240" w:lineRule="auto"/>
    </w:pPr>
    <w:rPr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2"/>
    <w:uiPriority w:val="39"/>
    <w:rsid w:val="00c101cb"/>
    <w:pPr>
      <w:spacing w:after="0" w:line="240" w:lineRule="auto"/>
    </w:pPr>
    <w:rPr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2"/>
    <w:uiPriority w:val="59"/>
    <w:rsid w:val="003051aa"/>
    <w:pPr>
      <w:spacing w:after="0" w:line="240" w:lineRule="auto"/>
    </w:pPr>
    <w:rPr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2"/>
    <w:uiPriority w:val="59"/>
    <w:rsid w:val="00a55eb7"/>
    <w:pPr>
      <w:spacing w:after="0" w:line="240" w:lineRule="auto"/>
    </w:pPr>
    <w:rPr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2"/>
    <w:uiPriority w:val="59"/>
    <w:rsid w:val="009d77b2"/>
    <w:pPr>
      <w:spacing w:after="0" w:line="240" w:lineRule="auto"/>
    </w:pPr>
    <w:rPr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LibreOffice/6.0.4.2$Windows_X86_64 LibreOffice_project/9b0d9b32d5dcda91d2f1a96dc04c645c450872bf</Application>
  <Pages>3</Pages>
  <Words>813</Words>
  <Characters>5783</Characters>
  <CharactersWithSpaces>6759</CharactersWithSpaces>
  <Paragraphs>83</Paragraphs>
  <Company>ОАО НПП "Алмаз"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2020-12-11T05:20:00Z</dcterms:created>
  <dc:creator>Филипова Ольга Владимировна</dc:creator>
  <dc:description/>
  <dc:language>ru-RU</dc:language>
  <cp:lastModifiedBy/>
  <dcterms:modified xsi:type="dcterms:W3CDTF">2020-12-18T13:13:03Z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ОАО НПП "Алмаз"</vt:lpwstr>
  </property>
  <property fmtid="{D5CDD505-2E9C-101B-9397-08002B2CF9AE}" pid="4" name="DocSecurity">
    <vt:i4>4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