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44E4" w:rsidRPr="00E344E4" w:rsidRDefault="00E344E4" w:rsidP="00E344E4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</w:rPr>
      </w:pPr>
      <w:r w:rsidRPr="00E344E4">
        <w:rPr>
          <w:rFonts w:ascii="Arial" w:eastAsia="Times New Roman" w:hAnsi="Arial" w:cs="Arial"/>
          <w:b/>
          <w:bCs/>
          <w:color w:val="333333"/>
          <w:sz w:val="27"/>
          <w:szCs w:val="27"/>
        </w:rPr>
        <w:t>Серия ТХ</w:t>
      </w:r>
    </w:p>
    <w:p w:rsidR="00E344E4" w:rsidRPr="00E344E4" w:rsidRDefault="00E344E4" w:rsidP="00E344E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7"/>
          <w:szCs w:val="27"/>
        </w:rPr>
      </w:pPr>
      <w:r w:rsidRPr="00E344E4">
        <w:rPr>
          <w:rFonts w:ascii="Arial" w:eastAsia="Times New Roman" w:hAnsi="Arial" w:cs="Arial"/>
          <w:color w:val="333333"/>
          <w:sz w:val="27"/>
          <w:szCs w:val="27"/>
          <w:u w:val="single"/>
        </w:rPr>
        <w:t>ПОЗИЦИОНЕРЫ С ВЫСОКОЙ НАГРУЗКОЙ</w:t>
      </w:r>
    </w:p>
    <w:p w:rsidR="00E344E4" w:rsidRPr="00E344E4" w:rsidRDefault="00E344E4" w:rsidP="00E344E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7"/>
          <w:szCs w:val="27"/>
        </w:rPr>
      </w:pPr>
      <w:r w:rsidRPr="00E344E4">
        <w:rPr>
          <w:rFonts w:ascii="Arial" w:eastAsia="Times New Roman" w:hAnsi="Arial" w:cs="Arial"/>
          <w:color w:val="333333"/>
          <w:sz w:val="27"/>
          <w:szCs w:val="27"/>
        </w:rPr>
        <w:t>Технические характеристики</w:t>
      </w:r>
    </w:p>
    <w:p w:rsidR="00E344E4" w:rsidRPr="00E344E4" w:rsidRDefault="00E344E4" w:rsidP="00E344E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7"/>
          <w:szCs w:val="27"/>
        </w:rPr>
      </w:pPr>
      <w:r w:rsidRPr="00E344E4">
        <w:rPr>
          <w:rFonts w:ascii="Arial" w:eastAsia="Times New Roman" w:hAnsi="Arial" w:cs="Arial"/>
          <w:color w:val="333333"/>
          <w:sz w:val="27"/>
          <w:szCs w:val="27"/>
        </w:rPr>
        <w:t>ВЧ защита присутствует во всех моделях.</w:t>
      </w:r>
    </w:p>
    <w:p w:rsidR="00E344E4" w:rsidRPr="00E344E4" w:rsidRDefault="00E344E4" w:rsidP="00E344E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7"/>
          <w:szCs w:val="27"/>
        </w:rPr>
      </w:pPr>
      <w:r w:rsidRPr="00E344E4">
        <w:rPr>
          <w:rFonts w:ascii="Arial" w:eastAsia="Times New Roman" w:hAnsi="Arial" w:cs="Arial"/>
          <w:color w:val="333333"/>
          <w:sz w:val="27"/>
          <w:szCs w:val="27"/>
        </w:rPr>
        <w:t>Позиционеры серии ТХ характеризуются высокой грузоподъемностью от 500 до 12000 кг.</w:t>
      </w:r>
    </w:p>
    <w:p w:rsidR="00E344E4" w:rsidRPr="00E344E4" w:rsidRDefault="00E344E4" w:rsidP="00E344E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7"/>
          <w:szCs w:val="27"/>
        </w:rPr>
      </w:pPr>
      <w:r w:rsidRPr="00E344E4">
        <w:rPr>
          <w:rFonts w:ascii="Arial" w:eastAsia="Times New Roman" w:hAnsi="Arial" w:cs="Arial"/>
          <w:color w:val="333333"/>
          <w:sz w:val="27"/>
          <w:szCs w:val="27"/>
          <w:u w:val="single"/>
        </w:rPr>
        <w:t>Модели 500-800-1200</w:t>
      </w:r>
    </w:p>
    <w:p w:rsidR="00E344E4" w:rsidRPr="00E344E4" w:rsidRDefault="00E344E4" w:rsidP="00E344E4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Arial" w:eastAsia="Times New Roman" w:hAnsi="Arial" w:cs="Arial"/>
          <w:color w:val="333333"/>
          <w:sz w:val="27"/>
          <w:szCs w:val="27"/>
        </w:rPr>
      </w:pPr>
      <w:r>
        <w:rPr>
          <w:rFonts w:ascii="Arial" w:eastAsia="Times New Roman" w:hAnsi="Arial" w:cs="Arial"/>
          <w:noProof/>
          <w:color w:val="333333"/>
          <w:sz w:val="27"/>
          <w:szCs w:val="27"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right</wp:align>
            </wp:positionH>
            <wp:positionV relativeFrom="line">
              <wp:posOffset>-4445</wp:posOffset>
            </wp:positionV>
            <wp:extent cx="2541270" cy="2390775"/>
            <wp:effectExtent l="19050" t="0" r="0" b="0"/>
            <wp:wrapSquare wrapText="bothSides"/>
            <wp:docPr id="2" name="Рисунок 2" descr="Сварочные поз.6.jp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Сварочные поз.6.jp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1270" cy="2390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hyperlink r:id="rId8" w:history="1"/>
      <w:r w:rsidRPr="00E344E4">
        <w:rPr>
          <w:rFonts w:ascii="Arial" w:eastAsia="Times New Roman" w:hAnsi="Arial" w:cs="Arial"/>
          <w:color w:val="333333"/>
          <w:sz w:val="27"/>
          <w:szCs w:val="27"/>
        </w:rPr>
        <w:t>вращение с помощью электродвигателя переменного тока (</w:t>
      </w:r>
      <w:proofErr w:type="gramStart"/>
      <w:r w:rsidRPr="00E344E4">
        <w:rPr>
          <w:rFonts w:ascii="Arial" w:eastAsia="Times New Roman" w:hAnsi="Arial" w:cs="Arial"/>
          <w:color w:val="333333"/>
          <w:sz w:val="27"/>
          <w:szCs w:val="27"/>
        </w:rPr>
        <w:t>трехфазный</w:t>
      </w:r>
      <w:proofErr w:type="gramEnd"/>
      <w:r w:rsidRPr="00E344E4">
        <w:rPr>
          <w:rFonts w:ascii="Arial" w:eastAsia="Times New Roman" w:hAnsi="Arial" w:cs="Arial"/>
          <w:color w:val="333333"/>
          <w:sz w:val="27"/>
          <w:szCs w:val="27"/>
        </w:rPr>
        <w:t>) с инверторным управлением и двойным редуктором</w:t>
      </w:r>
    </w:p>
    <w:p w:rsidR="00E344E4" w:rsidRPr="00E344E4" w:rsidRDefault="00E344E4" w:rsidP="00E344E4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Arial" w:eastAsia="Times New Roman" w:hAnsi="Arial" w:cs="Arial"/>
          <w:color w:val="333333"/>
          <w:sz w:val="27"/>
          <w:szCs w:val="27"/>
        </w:rPr>
      </w:pPr>
      <w:r w:rsidRPr="00E344E4">
        <w:rPr>
          <w:rFonts w:ascii="Arial" w:eastAsia="Times New Roman" w:hAnsi="Arial" w:cs="Arial"/>
          <w:color w:val="333333"/>
          <w:sz w:val="27"/>
          <w:szCs w:val="27"/>
        </w:rPr>
        <w:t>наклон планшайбы вручную (или моторизованный как опция)</w:t>
      </w:r>
    </w:p>
    <w:p w:rsidR="00E344E4" w:rsidRPr="00E344E4" w:rsidRDefault="00E344E4" w:rsidP="00E344E4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Arial" w:eastAsia="Times New Roman" w:hAnsi="Arial" w:cs="Arial"/>
          <w:color w:val="333333"/>
          <w:sz w:val="27"/>
          <w:szCs w:val="27"/>
        </w:rPr>
      </w:pPr>
      <w:r w:rsidRPr="00E344E4">
        <w:rPr>
          <w:rFonts w:ascii="Arial" w:eastAsia="Times New Roman" w:hAnsi="Arial" w:cs="Arial"/>
          <w:color w:val="333333"/>
          <w:sz w:val="27"/>
          <w:szCs w:val="27"/>
        </w:rPr>
        <w:t xml:space="preserve">могут быть </w:t>
      </w:r>
      <w:proofErr w:type="gramStart"/>
      <w:r w:rsidRPr="00E344E4">
        <w:rPr>
          <w:rFonts w:ascii="Arial" w:eastAsia="Times New Roman" w:hAnsi="Arial" w:cs="Arial"/>
          <w:color w:val="333333"/>
          <w:sz w:val="27"/>
          <w:szCs w:val="27"/>
        </w:rPr>
        <w:t>оснащены</w:t>
      </w:r>
      <w:proofErr w:type="gramEnd"/>
      <w:r w:rsidRPr="00E344E4">
        <w:rPr>
          <w:rFonts w:ascii="Arial" w:eastAsia="Times New Roman" w:hAnsi="Arial" w:cs="Arial"/>
          <w:color w:val="333333"/>
          <w:sz w:val="27"/>
          <w:szCs w:val="27"/>
        </w:rPr>
        <w:t xml:space="preserve"> консолью с ручным или пневматическим приводом</w:t>
      </w:r>
    </w:p>
    <w:p w:rsidR="00E344E4" w:rsidRPr="00E344E4" w:rsidRDefault="00E344E4" w:rsidP="00E344E4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Arial" w:eastAsia="Times New Roman" w:hAnsi="Arial" w:cs="Arial"/>
          <w:color w:val="333333"/>
          <w:sz w:val="27"/>
          <w:szCs w:val="27"/>
        </w:rPr>
      </w:pPr>
      <w:r w:rsidRPr="00E344E4">
        <w:rPr>
          <w:rFonts w:ascii="Arial" w:eastAsia="Times New Roman" w:hAnsi="Arial" w:cs="Arial"/>
          <w:color w:val="333333"/>
          <w:sz w:val="27"/>
          <w:szCs w:val="27"/>
        </w:rPr>
        <w:t>базовая версия предназначена для двух- или четырехтактного ручного рабочего цикла</w:t>
      </w:r>
    </w:p>
    <w:p w:rsidR="00E344E4" w:rsidRPr="00E344E4" w:rsidRDefault="00E344E4" w:rsidP="00E344E4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Arial" w:eastAsia="Times New Roman" w:hAnsi="Arial" w:cs="Arial"/>
          <w:color w:val="333333"/>
          <w:sz w:val="27"/>
          <w:szCs w:val="27"/>
        </w:rPr>
      </w:pPr>
      <w:r w:rsidRPr="00E344E4">
        <w:rPr>
          <w:rFonts w:ascii="Arial" w:eastAsia="Times New Roman" w:hAnsi="Arial" w:cs="Arial"/>
          <w:color w:val="333333"/>
          <w:sz w:val="27"/>
          <w:szCs w:val="27"/>
        </w:rPr>
        <w:t>электронный контроль как опция для автоматического процесса на отдельной консоли с функцией заварки кратеров</w:t>
      </w:r>
    </w:p>
    <w:p w:rsidR="00E344E4" w:rsidRPr="00E344E4" w:rsidRDefault="00E344E4" w:rsidP="00E344E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7"/>
          <w:szCs w:val="27"/>
        </w:rPr>
      </w:pPr>
      <w:r w:rsidRPr="00E344E4">
        <w:rPr>
          <w:rFonts w:ascii="Arial" w:eastAsia="Times New Roman" w:hAnsi="Arial" w:cs="Arial"/>
          <w:color w:val="333333"/>
          <w:sz w:val="27"/>
          <w:szCs w:val="27"/>
          <w:u w:val="single"/>
        </w:rPr>
        <w:t>Модели 2000-3000-6000-12K</w:t>
      </w:r>
    </w:p>
    <w:p w:rsidR="00E344E4" w:rsidRPr="00E344E4" w:rsidRDefault="00E344E4" w:rsidP="00E344E4">
      <w:pPr>
        <w:numPr>
          <w:ilvl w:val="0"/>
          <w:numId w:val="2"/>
        </w:numPr>
        <w:spacing w:after="0" w:line="240" w:lineRule="auto"/>
        <w:ind w:left="0"/>
        <w:rPr>
          <w:rFonts w:ascii="Arial" w:eastAsia="Times New Roman" w:hAnsi="Arial" w:cs="Arial"/>
          <w:color w:val="333333"/>
          <w:sz w:val="27"/>
          <w:szCs w:val="27"/>
        </w:rPr>
      </w:pPr>
      <w:r w:rsidRPr="00E344E4">
        <w:rPr>
          <w:rFonts w:ascii="Arial" w:eastAsia="Times New Roman" w:hAnsi="Arial" w:cs="Arial"/>
          <w:color w:val="333333"/>
          <w:sz w:val="27"/>
          <w:szCs w:val="27"/>
        </w:rPr>
        <w:t>вращение с помощью трехфазного двигателя переменного тока с инверторным преобразователем </w:t>
      </w:r>
    </w:p>
    <w:p w:rsidR="00E344E4" w:rsidRPr="00E344E4" w:rsidRDefault="00E344E4" w:rsidP="00E344E4">
      <w:pPr>
        <w:numPr>
          <w:ilvl w:val="0"/>
          <w:numId w:val="2"/>
        </w:numPr>
        <w:spacing w:after="0" w:line="240" w:lineRule="auto"/>
        <w:ind w:left="0"/>
        <w:rPr>
          <w:rFonts w:ascii="Arial" w:eastAsia="Times New Roman" w:hAnsi="Arial" w:cs="Arial"/>
          <w:color w:val="333333"/>
          <w:sz w:val="27"/>
          <w:szCs w:val="27"/>
        </w:rPr>
      </w:pPr>
      <w:r w:rsidRPr="00E344E4">
        <w:rPr>
          <w:rFonts w:ascii="Arial" w:eastAsia="Times New Roman" w:hAnsi="Arial" w:cs="Arial"/>
          <w:color w:val="333333"/>
          <w:sz w:val="27"/>
          <w:szCs w:val="27"/>
        </w:rPr>
        <w:t>двух- и четырехтактные режимы работы (ручной рабочий цикл) TX 500</w:t>
      </w:r>
    </w:p>
    <w:p w:rsidR="00E344E4" w:rsidRPr="00E344E4" w:rsidRDefault="00E344E4" w:rsidP="00E344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eastAsia="Times New Roman" w:hAnsi="Arial" w:cs="Arial"/>
          <w:noProof/>
          <w:color w:val="0000FF"/>
          <w:sz w:val="27"/>
          <w:szCs w:val="27"/>
        </w:rPr>
        <w:drawing>
          <wp:inline distT="0" distB="0" distL="0" distR="0">
            <wp:extent cx="5934075" cy="2409825"/>
            <wp:effectExtent l="19050" t="0" r="9525" b="0"/>
            <wp:docPr id="1" name="Рисунок 1" descr="Сварочные поз.7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варочные поз.7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409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344E4">
        <w:rPr>
          <w:rFonts w:ascii="Arial" w:eastAsia="Times New Roman" w:hAnsi="Arial" w:cs="Arial"/>
          <w:color w:val="333333"/>
          <w:sz w:val="27"/>
          <w:szCs w:val="27"/>
        </w:rPr>
        <w:t> </w:t>
      </w:r>
      <w:r w:rsidRPr="00E344E4">
        <w:rPr>
          <w:rFonts w:ascii="Arial" w:eastAsia="Times New Roman" w:hAnsi="Arial" w:cs="Arial"/>
          <w:color w:val="333333"/>
          <w:sz w:val="27"/>
          <w:szCs w:val="27"/>
        </w:rPr>
        <w:br/>
      </w:r>
      <w:proofErr w:type="gramStart"/>
      <w:r w:rsidRPr="00E344E4">
        <w:rPr>
          <w:rFonts w:ascii="Arial" w:eastAsia="Times New Roman" w:hAnsi="Arial" w:cs="Arial"/>
          <w:color w:val="333333"/>
          <w:sz w:val="27"/>
          <w:szCs w:val="27"/>
        </w:rPr>
        <w:lastRenderedPageBreak/>
        <w:t>Дополнительно к базовой модели ТХ установлены: </w:t>
      </w:r>
      <w:r w:rsidRPr="00E344E4">
        <w:rPr>
          <w:rFonts w:ascii="Arial" w:eastAsia="Times New Roman" w:hAnsi="Arial" w:cs="Arial"/>
          <w:color w:val="333333"/>
          <w:sz w:val="27"/>
          <w:szCs w:val="27"/>
        </w:rPr>
        <w:br/>
      </w:r>
      <w:proofErr w:type="gramEnd"/>
    </w:p>
    <w:p w:rsidR="00E344E4" w:rsidRPr="00E344E4" w:rsidRDefault="00E344E4" w:rsidP="00E344E4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Arial" w:eastAsia="Times New Roman" w:hAnsi="Arial" w:cs="Arial"/>
          <w:color w:val="333333"/>
          <w:sz w:val="27"/>
          <w:szCs w:val="27"/>
        </w:rPr>
      </w:pPr>
      <w:r w:rsidRPr="00E344E4">
        <w:rPr>
          <w:rFonts w:ascii="Arial" w:eastAsia="Times New Roman" w:hAnsi="Arial" w:cs="Arial"/>
          <w:color w:val="333333"/>
          <w:sz w:val="27"/>
          <w:szCs w:val="27"/>
        </w:rPr>
        <w:t xml:space="preserve">ЗАДНЯЯ БАБКА, активируемая пневматическим цилиндром. </w:t>
      </w:r>
      <w:proofErr w:type="gramStart"/>
      <w:r w:rsidRPr="00E344E4">
        <w:rPr>
          <w:rFonts w:ascii="Arial" w:eastAsia="Times New Roman" w:hAnsi="Arial" w:cs="Arial"/>
          <w:color w:val="333333"/>
          <w:sz w:val="27"/>
          <w:szCs w:val="27"/>
        </w:rPr>
        <w:t>Необходим</w:t>
      </w:r>
      <w:proofErr w:type="gramEnd"/>
      <w:r w:rsidRPr="00E344E4">
        <w:rPr>
          <w:rFonts w:ascii="Arial" w:eastAsia="Times New Roman" w:hAnsi="Arial" w:cs="Arial"/>
          <w:color w:val="333333"/>
          <w:sz w:val="27"/>
          <w:szCs w:val="27"/>
        </w:rPr>
        <w:t xml:space="preserve"> для центрирования и закрепления детали. Стандартное расстояние между задней бабкой и столом 2000 мм, может изменяться по требованию заказчика</w:t>
      </w:r>
    </w:p>
    <w:p w:rsidR="00E344E4" w:rsidRPr="00E344E4" w:rsidRDefault="00E344E4" w:rsidP="00E344E4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Arial" w:eastAsia="Times New Roman" w:hAnsi="Arial" w:cs="Arial"/>
          <w:color w:val="333333"/>
          <w:sz w:val="27"/>
          <w:szCs w:val="27"/>
        </w:rPr>
      </w:pPr>
      <w:r w:rsidRPr="00E344E4">
        <w:rPr>
          <w:rFonts w:ascii="Arial" w:eastAsia="Times New Roman" w:hAnsi="Arial" w:cs="Arial"/>
          <w:color w:val="333333"/>
          <w:sz w:val="27"/>
          <w:szCs w:val="27"/>
        </w:rPr>
        <w:t>прочная ОПОРНАЯ ПЛИТА. Гарантирует высокую стабильность и при необходимости позволяет устанавливать поперечную плиту (опция ВА</w:t>
      </w:r>
      <w:proofErr w:type="gramStart"/>
      <w:r w:rsidRPr="00E344E4">
        <w:rPr>
          <w:rFonts w:ascii="Arial" w:eastAsia="Times New Roman" w:hAnsi="Arial" w:cs="Arial"/>
          <w:color w:val="333333"/>
          <w:sz w:val="27"/>
          <w:szCs w:val="27"/>
        </w:rPr>
        <w:t>S</w:t>
      </w:r>
      <w:proofErr w:type="gramEnd"/>
      <w:r w:rsidRPr="00E344E4">
        <w:rPr>
          <w:rFonts w:ascii="Arial" w:eastAsia="Times New Roman" w:hAnsi="Arial" w:cs="Arial"/>
          <w:color w:val="333333"/>
          <w:sz w:val="27"/>
          <w:szCs w:val="27"/>
        </w:rPr>
        <w:t>) для крепления и перемещения одной или двух пневматических консолей (опция BS)</w:t>
      </w:r>
    </w:p>
    <w:p w:rsidR="00332D0D" w:rsidRDefault="00332D0D">
      <w:bookmarkStart w:id="0" w:name="_GoBack"/>
      <w:bookmarkEnd w:id="0"/>
    </w:p>
    <w:sectPr w:rsidR="00332D0D" w:rsidSect="00332D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A1703"/>
    <w:multiLevelType w:val="multilevel"/>
    <w:tmpl w:val="1E749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53FF347D"/>
    <w:multiLevelType w:val="multilevel"/>
    <w:tmpl w:val="CC764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65037802"/>
    <w:multiLevelType w:val="multilevel"/>
    <w:tmpl w:val="9208A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4E4"/>
    <w:rsid w:val="00131043"/>
    <w:rsid w:val="00332D0D"/>
    <w:rsid w:val="007900AE"/>
    <w:rsid w:val="00A0257A"/>
    <w:rsid w:val="00C50674"/>
    <w:rsid w:val="00E344E4"/>
    <w:rsid w:val="00E40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344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E344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344E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E344E4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E344E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344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E344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344E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E344E4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E344E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0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5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5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91968">
          <w:marLeft w:val="0"/>
          <w:marRight w:val="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64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44966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68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63380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6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565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67522">
          <w:marLeft w:val="0"/>
          <w:marRight w:val="0"/>
          <w:marTop w:val="0"/>
          <w:marBottom w:val="2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29694">
          <w:marLeft w:val="0"/>
          <w:marRight w:val="0"/>
          <w:marTop w:val="0"/>
          <w:marBottom w:val="2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534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ron-spb.com/upload/medialibrary/6ee/6eea499b524d259558e94a5c679c4b25.jpg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kron-spb.com/upload/medialibrary/6ee/6eea499b524d259558e94a5c679c4b25.jpg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http://kron-spb.com/upload/medialibrary/22e/22e470bc88825b374600828c8c352034.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Чечулин</dc:creator>
  <cp:lastModifiedBy>Максим Истомин</cp:lastModifiedBy>
  <cp:revision>2</cp:revision>
  <dcterms:created xsi:type="dcterms:W3CDTF">2020-02-21T13:08:00Z</dcterms:created>
  <dcterms:modified xsi:type="dcterms:W3CDTF">2020-02-21T13:08:00Z</dcterms:modified>
</cp:coreProperties>
</file>